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hint="eastAsia" w:ascii="方正小标宋简体" w:hAnsi="Times New Roman" w:eastAsia="方正小标宋简体"/>
          <w:sz w:val="44"/>
          <w:szCs w:val="44"/>
          <w:lang w:val="en-US" w:eastAsia="zh-CN"/>
        </w:rPr>
      </w:pPr>
      <w:r>
        <w:rPr>
          <w:rFonts w:hint="eastAsia" w:ascii="方正小标宋简体" w:hAnsi="Times New Roman" w:eastAsia="方正小标宋简体"/>
          <w:sz w:val="44"/>
          <w:szCs w:val="44"/>
        </w:rPr>
        <w:t>2020年度</w:t>
      </w:r>
      <w:r>
        <w:rPr>
          <w:rFonts w:hint="eastAsia" w:ascii="方正小标宋简体" w:hAnsi="Times New Roman" w:eastAsia="方正小标宋简体"/>
          <w:sz w:val="44"/>
          <w:szCs w:val="44"/>
          <w:lang w:val="en-US" w:eastAsia="zh-CN"/>
        </w:rPr>
        <w:t>益阳市第三次国土调查</w:t>
      </w:r>
    </w:p>
    <w:p>
      <w:pPr>
        <w:spacing w:line="700" w:lineRule="exact"/>
        <w:jc w:val="center"/>
        <w:rPr>
          <w:rFonts w:hint="eastAsia" w:ascii="方正小标宋简体" w:hAnsi="Times New Roman" w:eastAsia="方正小标宋简体"/>
          <w:sz w:val="44"/>
          <w:szCs w:val="44"/>
        </w:rPr>
      </w:pPr>
      <w:r>
        <w:rPr>
          <w:rFonts w:hint="eastAsia" w:ascii="方正小标宋简体" w:hAnsi="Times New Roman" w:eastAsia="方正小标宋简体"/>
          <w:sz w:val="44"/>
          <w:szCs w:val="44"/>
        </w:rPr>
        <w:t>项目资金绩效自评报告</w:t>
      </w:r>
    </w:p>
    <w:p>
      <w:pPr>
        <w:adjustRightInd w:val="0"/>
        <w:spacing w:line="600" w:lineRule="exact"/>
        <w:ind w:right="641"/>
        <w:rPr>
          <w:rFonts w:ascii="Times New Roman" w:hAnsi="Times New Roman"/>
          <w:szCs w:val="32"/>
        </w:rPr>
      </w:pPr>
    </w:p>
    <w:p>
      <w:pPr>
        <w:adjustRightInd w:val="0"/>
        <w:snapToGrid w:val="0"/>
        <w:spacing w:line="600" w:lineRule="exact"/>
        <w:ind w:firstLine="632" w:firstLineChars="200"/>
        <w:rPr>
          <w:rFonts w:ascii="黑体" w:hAnsi="黑体" w:eastAsia="黑体"/>
          <w:szCs w:val="32"/>
        </w:rPr>
      </w:pPr>
      <w:r>
        <w:rPr>
          <w:rFonts w:ascii="黑体" w:hAnsi="黑体" w:eastAsia="黑体"/>
          <w:szCs w:val="32"/>
        </w:rPr>
        <w:t>一、项目概况</w:t>
      </w:r>
    </w:p>
    <w:p>
      <w:pPr>
        <w:adjustRightInd w:val="0"/>
        <w:snapToGrid w:val="0"/>
        <w:spacing w:line="600" w:lineRule="exact"/>
        <w:ind w:firstLine="632" w:firstLineChars="200"/>
        <w:rPr>
          <w:rFonts w:hint="eastAsia" w:ascii="仿宋_GB2312" w:hAnsi="仿宋"/>
          <w:szCs w:val="32"/>
        </w:rPr>
      </w:pPr>
      <w:r>
        <w:rPr>
          <w:rFonts w:hint="eastAsia" w:ascii="仿宋_GB2312"/>
          <w:sz w:val="32"/>
          <w:szCs w:val="32"/>
          <w:lang w:eastAsia="zh-CN"/>
        </w:rPr>
        <w:t>第三次全国国土调查</w:t>
      </w:r>
      <w:r>
        <w:rPr>
          <w:rFonts w:hint="eastAsia" w:ascii="仿宋_GB2312" w:eastAsia="仿宋_GB2312"/>
          <w:sz w:val="32"/>
          <w:szCs w:val="32"/>
        </w:rPr>
        <w:t>是我们国家发展进入新时代的一次极其重要的基础国情国力调查，也是整个自然资源系统最复杂、最重要的一项基础性工作。</w:t>
      </w:r>
      <w:r>
        <w:rPr>
          <w:rFonts w:hint="eastAsia" w:ascii="仿宋_GB2312" w:hAnsi="仿宋"/>
          <w:szCs w:val="32"/>
        </w:rPr>
        <w:t>根据《国务院关于开展第三次全国土地调查的通知》（国发〔2017〕48号）、和《湖南省人民政府关于切实做好第三次土地调查工作的通知》（湘政发〔2018〕14号）、《益阳市人民政府办公室关于切实做好第三次国土调查工作的通知》(益政办发〔2018〕65号)，益阳市人民政府决定在全市范围内开展第三次国土调查。</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lang w:val="en-US" w:eastAsia="zh-CN"/>
        </w:rPr>
        <w:t>益阳市在第二次土地调查成果基础上，全面细化和完善本市土地利用基础数据，掌握翔实准确的国土利用现状和自然资源变化情况，进一步完善国土调查、监测和统计制度，实现成果信息化管理与共享，满足空间规划编制、国土空间用途管制、国土空间生态修复等各项工作的需要。</w:t>
      </w:r>
      <w:r>
        <w:rPr>
          <w:rFonts w:hint="eastAsia" w:ascii="仿宋_GB2312" w:hAnsi="仿宋"/>
          <w:szCs w:val="32"/>
        </w:rPr>
        <w:t>为确保益阳市第三次国土调查（以下简称“三调”）工作有序开展，提高调查成果质量，依据《湖南省第三次国土调查监理工作指导意见》，决定在本级行政区域内启动第三次国土调查监理工作。</w:t>
      </w:r>
      <w:r>
        <w:rPr>
          <w:rFonts w:hint="eastAsia" w:ascii="仿宋_GB2312" w:hAnsi="仿宋"/>
          <w:szCs w:val="32"/>
          <w:lang w:val="en-US" w:eastAsia="zh-CN"/>
        </w:rPr>
        <w:t>项目范围涉及益阳市所辖7个行政区域，面积约12320平方公里。</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lang w:eastAsia="zh-CN"/>
        </w:rPr>
        <w:t>三调主要</w:t>
      </w:r>
      <w:r>
        <w:rPr>
          <w:rFonts w:hint="eastAsia" w:ascii="仿宋_GB2312" w:hAnsi="仿宋"/>
          <w:szCs w:val="32"/>
        </w:rPr>
        <w:t>任务</w:t>
      </w:r>
      <w:r>
        <w:rPr>
          <w:rFonts w:hint="eastAsia" w:ascii="仿宋_GB2312" w:hAnsi="仿宋"/>
          <w:szCs w:val="32"/>
          <w:lang w:val="en-US" w:eastAsia="zh-CN"/>
        </w:rPr>
        <w:t>内容</w:t>
      </w:r>
      <w:r>
        <w:rPr>
          <w:rFonts w:hint="eastAsia" w:ascii="仿宋_GB2312" w:hAnsi="仿宋"/>
          <w:szCs w:val="32"/>
        </w:rPr>
        <w:t>如下：</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（1）土地利用现状调查</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以省三调办下发的初始库为基础，生产县级工作底图，开展农村土地利用现状调查和城镇村庄内部土地利用现状调查，查清城乡各类土地的利用状况。</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（2）土地权属调查</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将城镇国有建设用地范围外已完成的集体土地所有权确权登记和国有土地使用权登记成果落实在国土调查成果中，对发生变化的开展补充调查。</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（3）专项用地调查与评价</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基于土地利用现状、土地权属调查成果和自然资源管理形成的各类管理信息，结合自然资源精细化管理、节约集约用地评价及相关专项工作的需要，开展城镇低效用地、农村空心房、耕地后备资源、各类自然资源分布摸底调查等系列专项用地调查，夯实各项管理基础。</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w:t>
      </w:r>
      <w:r>
        <w:rPr>
          <w:rFonts w:hint="eastAsia" w:ascii="仿宋_GB2312" w:hAnsi="仿宋"/>
          <w:szCs w:val="32"/>
          <w:lang w:val="en-US" w:eastAsia="zh-CN"/>
        </w:rPr>
        <w:t>4</w:t>
      </w:r>
      <w:r>
        <w:rPr>
          <w:rFonts w:hint="eastAsia" w:ascii="仿宋_GB2312" w:hAnsi="仿宋"/>
          <w:szCs w:val="32"/>
        </w:rPr>
        <w:t>）数据库建设</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市三调办在对县级国土调查数据库质量检查的基础上，组织县级数据接边，开展对县级数据的集成整合，建立市级国土调查数据库及数据库管理系统，实现第三次国土调查数据在市级层面上的集成管理及综合应用。市三调办在资阳、赫山两区国土调查数据库的基础上，单独建设主城区国土调查数据库。</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w:t>
      </w:r>
      <w:r>
        <w:rPr>
          <w:rFonts w:hint="eastAsia" w:ascii="仿宋_GB2312" w:hAnsi="仿宋"/>
          <w:szCs w:val="32"/>
          <w:lang w:val="en-US" w:eastAsia="zh-CN"/>
        </w:rPr>
        <w:t>5</w:t>
      </w:r>
      <w:r>
        <w:rPr>
          <w:rFonts w:hint="eastAsia" w:ascii="仿宋_GB2312" w:hAnsi="仿宋"/>
          <w:szCs w:val="32"/>
        </w:rPr>
        <w:t>）成果汇总</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在数据库基础上，开展数据汇总、成果分析、数据成果制作与图件编制等工作。</w:t>
      </w:r>
    </w:p>
    <w:p>
      <w:pPr>
        <w:adjustRightInd w:val="0"/>
        <w:snapToGrid w:val="0"/>
        <w:spacing w:line="600" w:lineRule="exact"/>
        <w:ind w:firstLine="632" w:firstLineChars="200"/>
        <w:rPr>
          <w:rFonts w:hint="eastAsia" w:ascii="黑体" w:hAnsi="黑体" w:eastAsia="黑体"/>
          <w:szCs w:val="32"/>
        </w:rPr>
      </w:pPr>
      <w:r>
        <w:rPr>
          <w:rFonts w:ascii="黑体" w:hAnsi="黑体" w:eastAsia="黑体"/>
          <w:szCs w:val="32"/>
        </w:rPr>
        <w:t>二、</w:t>
      </w:r>
      <w:r>
        <w:rPr>
          <w:rFonts w:hint="eastAsia" w:ascii="黑体" w:hAnsi="黑体" w:eastAsia="黑体"/>
          <w:szCs w:val="32"/>
        </w:rPr>
        <w:t>绩效自评工作开展情况</w:t>
      </w:r>
    </w:p>
    <w:p>
      <w:pPr>
        <w:adjustRightInd w:val="0"/>
        <w:snapToGrid w:val="0"/>
        <w:spacing w:line="600" w:lineRule="exact"/>
        <w:ind w:firstLine="632" w:firstLineChars="200"/>
        <w:rPr>
          <w:rFonts w:hint="eastAsia" w:ascii="Times New Roman" w:hAnsi="Times New Roman" w:eastAsia="方正仿宋简体"/>
          <w:szCs w:val="32"/>
          <w:lang w:val="en-US" w:eastAsia="zh-CN"/>
        </w:rPr>
      </w:pPr>
      <w:r>
        <w:rPr>
          <w:rFonts w:hint="eastAsia" w:ascii="仿宋_GB2312" w:hAnsi="仿宋"/>
          <w:szCs w:val="32"/>
          <w:lang w:val="en-US" w:eastAsia="zh-CN"/>
        </w:rPr>
        <w:t>本部门组织相关人员认真学习研究文件，积极开展本单科室的预算项目支出绩效自评工作。</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2020年度对辖区内区县（市）三调工作（包括市级统一组织的本级主城区调查任务），以及市级数据库建设、成果汇总分析等工作进行监理。</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（一）质量监理。依据国家、省有关技术标准、规程、规范及有关文件，对三调准备工作、工作底图制作、全野外核查、数据库建设、汇总分析等各阶段工作采用的技术方法及成果质量等进行检查。</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（二）进度监理。依据三调工作部署和计划，对进度情况、合同执行情况等进行监理。</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三）其他项监理。依据有关保密规定，对数据保密情况进行监理；依据档案管理有关规定，对三调档案管理等进行监理。除以上规定内容外，还需保证调查技术单位按照项目合同书约定的其他事项完成三调工作。</w:t>
      </w:r>
    </w:p>
    <w:p>
      <w:pPr>
        <w:adjustRightInd w:val="0"/>
        <w:snapToGrid w:val="0"/>
        <w:spacing w:line="600" w:lineRule="exact"/>
        <w:ind w:firstLine="632" w:firstLineChars="200"/>
        <w:rPr>
          <w:rFonts w:hint="eastAsia" w:ascii="黑体" w:hAnsi="黑体" w:eastAsia="黑体"/>
          <w:szCs w:val="32"/>
        </w:rPr>
      </w:pPr>
      <w:r>
        <w:rPr>
          <w:rFonts w:ascii="黑体" w:hAnsi="黑体" w:eastAsia="黑体"/>
          <w:szCs w:val="32"/>
        </w:rPr>
        <w:t>三、</w:t>
      </w:r>
      <w:r>
        <w:rPr>
          <w:rFonts w:hint="eastAsia" w:ascii="黑体" w:hAnsi="黑体" w:eastAsia="黑体"/>
          <w:szCs w:val="32"/>
        </w:rPr>
        <w:t>综合评价结论</w:t>
      </w:r>
    </w:p>
    <w:p>
      <w:pPr>
        <w:adjustRightInd w:val="0"/>
        <w:snapToGrid w:val="0"/>
        <w:spacing w:line="600" w:lineRule="exact"/>
        <w:ind w:firstLine="632" w:firstLineChars="200"/>
        <w:rPr>
          <w:rFonts w:hint="eastAsia" w:ascii="仿宋_GB2312" w:hAnsi="仿宋"/>
          <w:szCs w:val="32"/>
        </w:rPr>
      </w:pPr>
      <w:r>
        <w:rPr>
          <w:rFonts w:hint="eastAsia" w:ascii="仿宋_GB2312" w:hAnsi="仿宋"/>
          <w:szCs w:val="32"/>
        </w:rPr>
        <w:t>根据项目开展和资金支付情况，自评得分</w:t>
      </w:r>
      <w:r>
        <w:rPr>
          <w:rFonts w:hint="eastAsia" w:ascii="仿宋_GB2312" w:hAnsi="仿宋"/>
          <w:szCs w:val="32"/>
          <w:lang w:val="en-US" w:eastAsia="zh-CN"/>
        </w:rPr>
        <w:t>100</w:t>
      </w:r>
      <w:r>
        <w:rPr>
          <w:rFonts w:hint="eastAsia" w:ascii="仿宋_GB2312" w:hAnsi="仿宋"/>
          <w:szCs w:val="32"/>
        </w:rPr>
        <w:t>分，自评结论为优秀。</w:t>
      </w:r>
    </w:p>
    <w:p>
      <w:pPr>
        <w:numPr>
          <w:ilvl w:val="0"/>
          <w:numId w:val="1"/>
        </w:numPr>
        <w:adjustRightInd w:val="0"/>
        <w:snapToGrid w:val="0"/>
        <w:spacing w:line="600" w:lineRule="exact"/>
        <w:ind w:firstLine="632" w:firstLineChars="200"/>
        <w:rPr>
          <w:rFonts w:hint="eastAsia" w:ascii="黑体" w:hAnsi="黑体" w:eastAsia="黑体"/>
          <w:szCs w:val="32"/>
        </w:rPr>
      </w:pPr>
      <w:r>
        <w:rPr>
          <w:rFonts w:hint="eastAsia" w:ascii="黑体" w:hAnsi="黑体" w:eastAsia="黑体"/>
          <w:szCs w:val="32"/>
        </w:rPr>
        <w:t>绩效目标实现情况分析</w:t>
      </w:r>
    </w:p>
    <w:p>
      <w:pPr>
        <w:widowControl/>
        <w:spacing w:line="600" w:lineRule="exact"/>
        <w:ind w:firstLine="632" w:firstLineChars="200"/>
        <w:rPr>
          <w:rFonts w:hint="eastAsia" w:ascii="楷体_GB2312" w:hAnsi="仿宋" w:eastAsia="楷体_GB2312"/>
          <w:szCs w:val="32"/>
        </w:rPr>
      </w:pPr>
      <w:r>
        <w:rPr>
          <w:rFonts w:hint="eastAsia" w:ascii="楷体_GB2312" w:hAnsi="仿宋" w:eastAsia="楷体_GB2312"/>
          <w:szCs w:val="32"/>
        </w:rPr>
        <w:t>（一）项目资金使用及管理情况</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1．项目资金安排落实、总投入等情况分析。市级财政下达资金257.4548万元，到位257.4548万元，项目总投入400万元。</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2．项目资金实际使用情况分析。项目资金257.4548万元，实际使用资金79.0582万元，其中技术服务费用（市级监理及调查成果复查经费）44.75万元，组织管理与宣传发动经费34.3082万元。</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3．项目资金管理情况分析。严格按照益阳市财政部门的要求，实行“专款专用，专账管理”的财务制度进行管理，明确专项资金的管理原则、分配方式、支出范围、申报条件、申报流程、审批及拨付程序、资金使用及监管要求，确保项目资金规范使用，没有挤占挪用现象。</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（二）总体绩效目标完成情况分析</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2020年度总体绩效预期目标为完成统一时点更新成果监理，提高三调成果质量，通过国家内外业核查。实际完成统一时点更新成果监理，已经通过国家内外业核查，有效提高了三调成果质量，完成率100%。</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（三）绩效指标完成情况分析</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1．项目的经济性分析。本项目投入资金400万元，我局按照年初项目工作计划，控制项目成本，年底完成既定目标，未追加项目资金；项目资金严格按照合同约定进行支付，不存在重复支付。</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2．项目的效率性分析。项目按照年初计划在规定的时间节点内全部完成，质量合格。</w:t>
      </w:r>
    </w:p>
    <w:p>
      <w:pPr>
        <w:adjustRightInd w:val="0"/>
        <w:snapToGrid w:val="0"/>
        <w:spacing w:line="600" w:lineRule="exact"/>
        <w:ind w:firstLine="632" w:firstLineChars="200"/>
        <w:rPr>
          <w:rFonts w:hint="eastAsia" w:ascii="黑体" w:hAnsi="黑体" w:eastAsia="黑体"/>
          <w:szCs w:val="32"/>
          <w:lang w:eastAsia="zh-CN"/>
        </w:rPr>
      </w:pPr>
      <w:r>
        <w:rPr>
          <w:rFonts w:hint="eastAsia" w:ascii="仿宋_GB2312" w:hAnsi="仿宋"/>
          <w:szCs w:val="32"/>
          <w:lang w:val="en-US" w:eastAsia="zh-CN"/>
        </w:rPr>
        <w:t>3．项目的有效性分析。益阳市第三次国土调查市级监理和成果复查项目的实施，初步建立了科学、完善的质量控制体系，提升了专业化水平，提高了三调成果的准确性、真实性。通过对三调工作的全程监理，为三调成果顺利通过国家验收提供了保障。</w:t>
      </w:r>
    </w:p>
    <w:p>
      <w:pPr>
        <w:ind w:firstLine="632" w:firstLineChars="200"/>
        <w:rPr>
          <w:rFonts w:hint="eastAsia" w:ascii="黑体" w:hAnsi="黑体" w:eastAsia="黑体"/>
          <w:szCs w:val="32"/>
          <w:lang w:eastAsia="zh-CN"/>
        </w:rPr>
      </w:pPr>
      <w:r>
        <w:rPr>
          <w:rFonts w:hint="eastAsia" w:ascii="黑体" w:hAnsi="黑体" w:eastAsia="黑体"/>
          <w:szCs w:val="32"/>
          <w:lang w:eastAsia="zh-CN"/>
        </w:rPr>
        <w:t>五、经费使用情况说明</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关于益阳市第三次国土调查（以下简称“三调”）经费使用情况，说明如下：</w:t>
      </w:r>
    </w:p>
    <w:p>
      <w:pPr>
        <w:adjustRightInd w:val="0"/>
        <w:snapToGrid w:val="0"/>
        <w:spacing w:line="600" w:lineRule="exact"/>
        <w:ind w:firstLine="632" w:firstLineChars="200"/>
        <w:rPr>
          <w:rFonts w:hint="default" w:ascii="仿宋_GB2312" w:hAnsi="仿宋"/>
          <w:szCs w:val="32"/>
          <w:lang w:val="en-US" w:eastAsia="zh-CN"/>
        </w:rPr>
      </w:pPr>
      <w:r>
        <w:rPr>
          <w:rFonts w:hint="eastAsia" w:ascii="仿宋_GB2312" w:hAnsi="仿宋"/>
          <w:szCs w:val="32"/>
          <w:lang w:val="en-US" w:eastAsia="zh-CN"/>
        </w:rPr>
        <w:t>1、经政府批准，三调经费共计400万元，其中技术服务费用255.</w:t>
      </w:r>
      <w:r>
        <w:rPr>
          <w:rFonts w:hint="default" w:ascii="仿宋_GB2312" w:hAnsi="仿宋"/>
          <w:szCs w:val="32"/>
          <w:lang w:val="en-US" w:eastAsia="zh-CN"/>
        </w:rPr>
        <w:t>42</w:t>
      </w:r>
      <w:r>
        <w:rPr>
          <w:rFonts w:hint="eastAsia" w:ascii="仿宋_GB2312" w:hAnsi="仿宋"/>
          <w:szCs w:val="32"/>
          <w:lang w:val="en-US" w:eastAsia="zh-CN"/>
        </w:rPr>
        <w:t>万元，组织管理与宣传发动工作经费144.58万元。</w:t>
      </w:r>
    </w:p>
    <w:p>
      <w:pPr>
        <w:adjustRightInd w:val="0"/>
        <w:snapToGrid w:val="0"/>
        <w:spacing w:line="600" w:lineRule="exact"/>
        <w:ind w:firstLine="632" w:firstLineChars="200"/>
        <w:rPr>
          <w:rFonts w:hint="default" w:ascii="仿宋_GB2312" w:hAnsi="仿宋"/>
          <w:szCs w:val="32"/>
          <w:lang w:val="en-US" w:eastAsia="zh-CN"/>
        </w:rPr>
      </w:pPr>
      <w:r>
        <w:rPr>
          <w:rFonts w:hint="default" w:ascii="仿宋_GB2312" w:hAnsi="仿宋"/>
          <w:szCs w:val="32"/>
          <w:lang w:val="en-US" w:eastAsia="zh-CN"/>
        </w:rPr>
        <w:t>2</w:t>
      </w:r>
      <w:r>
        <w:rPr>
          <w:rFonts w:hint="eastAsia" w:ascii="仿宋_GB2312" w:hAnsi="仿宋"/>
          <w:szCs w:val="32"/>
          <w:lang w:val="en-US" w:eastAsia="zh-CN"/>
        </w:rPr>
        <w:t>、技术服务费用包括市级数据库建设经费</w:t>
      </w:r>
      <w:r>
        <w:rPr>
          <w:rFonts w:hint="default" w:ascii="仿宋_GB2312" w:hAnsi="仿宋"/>
          <w:szCs w:val="32"/>
          <w:lang w:val="en-US" w:eastAsia="zh-CN"/>
        </w:rPr>
        <w:t>(</w:t>
      </w:r>
      <w:r>
        <w:rPr>
          <w:rFonts w:hint="eastAsia" w:ascii="仿宋_GB2312" w:hAnsi="仿宋"/>
          <w:szCs w:val="32"/>
          <w:lang w:val="en-US" w:eastAsia="zh-CN"/>
        </w:rPr>
        <w:t>121.5万元</w:t>
      </w:r>
      <w:r>
        <w:rPr>
          <w:rFonts w:hint="default" w:ascii="仿宋_GB2312" w:hAnsi="仿宋"/>
          <w:szCs w:val="32"/>
          <w:lang w:val="en-US" w:eastAsia="zh-CN"/>
        </w:rPr>
        <w:t>)</w:t>
      </w:r>
      <w:r>
        <w:rPr>
          <w:rFonts w:hint="eastAsia" w:ascii="仿宋_GB2312" w:hAnsi="仿宋"/>
          <w:szCs w:val="32"/>
          <w:lang w:val="en-US" w:eastAsia="zh-CN"/>
        </w:rPr>
        <w:t>、市级监理及调查成果复查经费（89.5万元）、市级调查经费（44.42万元）。按合同约定已付121.376万元，即将支付22.21万元，剩余 111.834 万元将按合同约定支付到位。</w:t>
      </w:r>
    </w:p>
    <w:p>
      <w:pPr>
        <w:adjustRightInd w:val="0"/>
        <w:snapToGrid w:val="0"/>
        <w:spacing w:line="600" w:lineRule="exact"/>
        <w:ind w:firstLine="632" w:firstLineChars="200"/>
        <w:rPr>
          <w:rFonts w:hint="default" w:ascii="仿宋_GB2312" w:hAnsi="仿宋"/>
          <w:szCs w:val="32"/>
          <w:lang w:val="en-US" w:eastAsia="zh-CN"/>
        </w:rPr>
      </w:pPr>
      <w:r>
        <w:rPr>
          <w:rFonts w:hint="eastAsia" w:ascii="仿宋_GB2312" w:hAnsi="仿宋"/>
          <w:szCs w:val="32"/>
          <w:lang w:val="en-US" w:eastAsia="zh-CN"/>
        </w:rPr>
        <w:t>3、组织管理与宣传发动工作经费初步统计已使用100万元，剩余约45万元。</w:t>
      </w:r>
    </w:p>
    <w:p>
      <w:pPr>
        <w:adjustRightInd w:val="0"/>
        <w:snapToGrid w:val="0"/>
        <w:spacing w:line="600" w:lineRule="exact"/>
        <w:ind w:firstLine="632" w:firstLineChars="200"/>
        <w:rPr>
          <w:rFonts w:hint="eastAsia" w:ascii="仿宋_GB2312" w:hAnsi="仿宋"/>
          <w:szCs w:val="32"/>
          <w:lang w:val="en-US" w:eastAsia="zh-CN"/>
        </w:rPr>
      </w:pPr>
      <w:r>
        <w:rPr>
          <w:rFonts w:hint="eastAsia" w:ascii="仿宋_GB2312" w:hAnsi="仿宋"/>
          <w:szCs w:val="32"/>
          <w:lang w:val="en-US" w:eastAsia="zh-CN"/>
        </w:rPr>
        <w:t>4、三调工作尚未结束，剩余资金待三调工作全部完成时支付。</w:t>
      </w:r>
    </w:p>
    <w:p>
      <w:pPr>
        <w:keepNext w:val="0"/>
        <w:keepLines w:val="0"/>
        <w:pageBreakBefore w:val="0"/>
        <w:numPr>
          <w:numId w:val="0"/>
        </w:numPr>
        <w:kinsoku/>
        <w:wordWrap/>
        <w:overflowPunct/>
        <w:topLinePunct w:val="0"/>
        <w:autoSpaceDE/>
        <w:autoSpaceDN/>
        <w:bidi w:val="0"/>
        <w:adjustRightInd w:val="0"/>
        <w:snapToGrid w:val="0"/>
        <w:spacing w:line="600" w:lineRule="exact"/>
        <w:ind w:left="630" w:leftChars="0"/>
        <w:textAlignment w:val="auto"/>
        <w:rPr>
          <w:rFonts w:hint="eastAsia" w:ascii="黑体" w:hAnsi="黑体" w:eastAsia="黑体"/>
          <w:szCs w:val="32"/>
        </w:rPr>
      </w:pPr>
      <w:r>
        <w:rPr>
          <w:rFonts w:hint="eastAsia" w:ascii="黑体" w:hAnsi="黑体" w:eastAsia="黑体"/>
          <w:szCs w:val="32"/>
          <w:lang w:eastAsia="zh-CN"/>
        </w:rPr>
        <w:t>六、</w:t>
      </w:r>
      <w:r>
        <w:rPr>
          <w:rFonts w:hint="eastAsia" w:ascii="黑体" w:hAnsi="黑体" w:eastAsia="黑体"/>
          <w:szCs w:val="32"/>
        </w:rPr>
        <w:t>绩效自评结果拟应用和公开情况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32" w:firstLineChars="200"/>
        <w:textAlignment w:val="auto"/>
        <w:rPr>
          <w:rFonts w:hint="eastAsia" w:ascii="仿宋" w:hAnsi="仿宋" w:eastAsia="仿宋" w:cs="仿宋"/>
          <w:szCs w:val="32"/>
          <w:lang w:eastAsia="zh-CN"/>
        </w:rPr>
      </w:pPr>
      <w:r>
        <w:rPr>
          <w:rFonts w:hint="eastAsia" w:ascii="仿宋" w:hAnsi="仿宋" w:eastAsia="仿宋" w:cs="仿宋"/>
          <w:szCs w:val="32"/>
          <w:lang w:eastAsia="zh-CN"/>
        </w:rPr>
        <w:t>我局将加强对</w:t>
      </w:r>
      <w:r>
        <w:rPr>
          <w:rFonts w:hint="eastAsia" w:ascii="仿宋_GB2312" w:hAnsi="仿宋"/>
          <w:szCs w:val="32"/>
          <w:lang w:eastAsia="zh-CN"/>
        </w:rPr>
        <w:t>三调工作项目绩效的监管，</w:t>
      </w:r>
      <w:r>
        <w:rPr>
          <w:rFonts w:hint="eastAsia" w:ascii="仿宋" w:hAnsi="仿宋" w:eastAsia="仿宋" w:cs="仿宋"/>
          <w:szCs w:val="32"/>
          <w:lang w:eastAsia="zh-CN"/>
        </w:rPr>
        <w:t>重视绩效评价结果的应用工作，充分发挥绩效评价以评促管效能，</w:t>
      </w:r>
      <w:r>
        <w:rPr>
          <w:rFonts w:hint="eastAsia" w:ascii="仿宋_GB2312" w:hAnsi="仿宋"/>
          <w:szCs w:val="32"/>
          <w:lang w:eastAsia="zh-CN"/>
        </w:rPr>
        <w:t>我局会按照财政部门的统一要求，对绩效评价情况予以公开。</w:t>
      </w:r>
      <w:bookmarkStart w:id="0" w:name="_GoBack"/>
      <w:bookmarkEnd w:id="0"/>
    </w:p>
    <w:p>
      <w:pPr>
        <w:adjustRightInd w:val="0"/>
        <w:snapToGrid w:val="0"/>
        <w:spacing w:line="600" w:lineRule="exact"/>
        <w:ind w:firstLine="632" w:firstLineChars="200"/>
        <w:rPr>
          <w:rFonts w:hint="eastAsia" w:ascii="仿宋_GB2312" w:hAnsi="仿宋"/>
          <w:szCs w:val="32"/>
          <w:lang w:val="en-US" w:eastAsia="zh-CN"/>
        </w:rPr>
      </w:pPr>
    </w:p>
    <w:p>
      <w:pPr>
        <w:adjustRightInd w:val="0"/>
        <w:snapToGrid w:val="0"/>
        <w:spacing w:line="600" w:lineRule="exact"/>
        <w:ind w:firstLine="632" w:firstLineChars="200"/>
        <w:rPr>
          <w:rFonts w:hint="eastAsia" w:ascii="黑体" w:hAnsi="黑体" w:eastAsia="黑体"/>
          <w:szCs w:val="32"/>
          <w:lang w:eastAsia="zh-CN"/>
        </w:rPr>
      </w:pPr>
      <w:r>
        <w:rPr>
          <w:rFonts w:hint="eastAsia" w:ascii="仿宋_GB2312" w:hAnsi="仿宋"/>
          <w:szCs w:val="32"/>
          <w:lang w:val="en-US" w:eastAsia="zh-CN"/>
        </w:rPr>
        <w:t xml:space="preserve">                            </w:t>
      </w:r>
      <w:r>
        <w:rPr>
          <w:rFonts w:hint="eastAsia"/>
          <w:sz w:val="32"/>
          <w:szCs w:val="32"/>
        </w:rPr>
        <w:t xml:space="preserve"> </w:t>
      </w:r>
    </w:p>
    <w:sectPr>
      <w:footerReference r:id="rId3" w:type="default"/>
      <w:footerReference r:id="rId4" w:type="even"/>
      <w:pgSz w:w="11907" w:h="16840"/>
      <w:pgMar w:top="2041" w:right="1531" w:bottom="1871" w:left="1531" w:header="851" w:footer="1304" w:gutter="0"/>
      <w:cols w:space="720" w:num="1"/>
      <w:docGrid w:type="linesAndChars" w:linePitch="587"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仿宋简体">
    <w:altName w:val="微软雅黑"/>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right="335"/>
      <w:rPr>
        <w:rStyle w:val="5"/>
        <w:rFonts w:hint="eastAsia" w:ascii="宋体" w:hAnsi="宋体" w:eastAsia="宋体"/>
        <w:sz w:val="28"/>
      </w:rPr>
    </w:pPr>
    <w:r>
      <w:rPr>
        <w:rStyle w:val="5"/>
        <w:rFonts w:hint="eastAsia" w:ascii="宋体" w:hAnsi="宋体" w:eastAsia="宋体"/>
        <w:sz w:val="28"/>
      </w:rPr>
      <w:t>—</w:t>
    </w:r>
    <w:r>
      <w:rPr>
        <w:rFonts w:ascii="宋体" w:hAnsi="宋体" w:eastAsia="宋体"/>
        <w:sz w:val="28"/>
      </w:rPr>
      <w:fldChar w:fldCharType="begin"/>
    </w:r>
    <w:r>
      <w:rPr>
        <w:rStyle w:val="5"/>
        <w:rFonts w:ascii="宋体" w:hAnsi="宋体" w:eastAsia="宋体"/>
        <w:sz w:val="28"/>
      </w:rPr>
      <w:instrText xml:space="preserve">PAGE  </w:instrText>
    </w:r>
    <w:r>
      <w:rPr>
        <w:rFonts w:ascii="宋体" w:hAnsi="宋体" w:eastAsia="宋体"/>
        <w:sz w:val="28"/>
      </w:rPr>
      <w:fldChar w:fldCharType="separate"/>
    </w:r>
    <w:r>
      <w:rPr>
        <w:rStyle w:val="5"/>
        <w:rFonts w:ascii="宋体" w:hAnsi="宋体" w:eastAsia="宋体"/>
        <w:sz w:val="28"/>
      </w:rPr>
      <w:t>7</w:t>
    </w:r>
    <w:r>
      <w:rPr>
        <w:rFonts w:ascii="宋体" w:hAnsi="宋体" w:eastAsia="宋体"/>
        <w:sz w:val="28"/>
      </w:rPr>
      <w:fldChar w:fldCharType="end"/>
    </w:r>
    <w:r>
      <w:rPr>
        <w:rStyle w:val="5"/>
        <w:rFonts w:hint="eastAsia" w:ascii="宋体" w:hAnsi="宋体" w:eastAsia="宋体"/>
        <w:sz w:val="28"/>
      </w:rPr>
      <w:t>—</w:t>
    </w:r>
  </w:p>
  <w:p>
    <w:pPr>
      <w:pStyle w:val="2"/>
      <w:ind w:right="360" w:firstLine="360"/>
      <w:jc w:val="right"/>
      <w:rPr>
        <w:rFonts w:hint="eastAsia"/>
        <w:sz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left="335"/>
      <w:rPr>
        <w:rStyle w:val="5"/>
        <w:rFonts w:hint="eastAsia" w:ascii="宋体" w:hAnsi="宋体" w:eastAsia="宋体"/>
        <w:sz w:val="28"/>
      </w:rPr>
    </w:pPr>
    <w:r>
      <w:rPr>
        <w:rStyle w:val="5"/>
        <w:rFonts w:hint="eastAsia" w:ascii="宋体" w:hAnsi="宋体" w:eastAsia="宋体"/>
        <w:sz w:val="28"/>
      </w:rPr>
      <w:t>—</w:t>
    </w:r>
    <w:r>
      <w:rPr>
        <w:rFonts w:ascii="宋体" w:hAnsi="宋体" w:eastAsia="宋体"/>
        <w:sz w:val="28"/>
      </w:rPr>
      <w:fldChar w:fldCharType="begin"/>
    </w:r>
    <w:r>
      <w:rPr>
        <w:rStyle w:val="5"/>
        <w:rFonts w:ascii="宋体" w:hAnsi="宋体" w:eastAsia="宋体"/>
        <w:sz w:val="28"/>
      </w:rPr>
      <w:instrText xml:space="preserve">PAGE  </w:instrText>
    </w:r>
    <w:r>
      <w:rPr>
        <w:rFonts w:ascii="宋体" w:hAnsi="宋体" w:eastAsia="宋体"/>
        <w:sz w:val="28"/>
      </w:rPr>
      <w:fldChar w:fldCharType="separate"/>
    </w:r>
    <w:r>
      <w:rPr>
        <w:rStyle w:val="5"/>
        <w:rFonts w:ascii="宋体" w:hAnsi="宋体" w:eastAsia="宋体"/>
        <w:sz w:val="28"/>
      </w:rPr>
      <w:t>8</w:t>
    </w:r>
    <w:r>
      <w:rPr>
        <w:rFonts w:ascii="宋体" w:hAnsi="宋体" w:eastAsia="宋体"/>
        <w:sz w:val="28"/>
      </w:rPr>
      <w:fldChar w:fldCharType="end"/>
    </w:r>
    <w:r>
      <w:rPr>
        <w:rStyle w:val="5"/>
        <w:rFonts w:hint="eastAsia" w:ascii="宋体" w:hAnsi="宋体" w:eastAsia="宋体"/>
        <w:sz w:val="28"/>
      </w:rPr>
      <w:t>—</w:t>
    </w:r>
  </w:p>
  <w:p>
    <w:pPr>
      <w:pStyle w:val="2"/>
      <w:ind w:left="300" w:right="360" w:firstLine="360"/>
      <w:rPr>
        <w:rFonts w:hint="eastAsia"/>
        <w:sz w:val="28"/>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CF2C08"/>
    <w:multiLevelType w:val="singleLevel"/>
    <w:tmpl w:val="BCCF2C08"/>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3C1592"/>
    <w:rsid w:val="01C85053"/>
    <w:rsid w:val="031E3A25"/>
    <w:rsid w:val="0DDC383A"/>
    <w:rsid w:val="0FA64AA8"/>
    <w:rsid w:val="143E3A36"/>
    <w:rsid w:val="14D653E3"/>
    <w:rsid w:val="163C1592"/>
    <w:rsid w:val="1A1E7F81"/>
    <w:rsid w:val="1AC650A0"/>
    <w:rsid w:val="1C132032"/>
    <w:rsid w:val="20BB0B88"/>
    <w:rsid w:val="228E0D34"/>
    <w:rsid w:val="230A446C"/>
    <w:rsid w:val="241F3EA1"/>
    <w:rsid w:val="24493E1A"/>
    <w:rsid w:val="26400FD7"/>
    <w:rsid w:val="2D237394"/>
    <w:rsid w:val="2FFD08D9"/>
    <w:rsid w:val="32CC449D"/>
    <w:rsid w:val="32FD3365"/>
    <w:rsid w:val="35DA7DAE"/>
    <w:rsid w:val="35E85CD3"/>
    <w:rsid w:val="35F1777E"/>
    <w:rsid w:val="36024796"/>
    <w:rsid w:val="364E2EE1"/>
    <w:rsid w:val="37B64AF6"/>
    <w:rsid w:val="3D1D7268"/>
    <w:rsid w:val="3F38332A"/>
    <w:rsid w:val="41E20670"/>
    <w:rsid w:val="42AF01CB"/>
    <w:rsid w:val="4320310A"/>
    <w:rsid w:val="44C714A9"/>
    <w:rsid w:val="46923161"/>
    <w:rsid w:val="4A8C36CF"/>
    <w:rsid w:val="4BA829C8"/>
    <w:rsid w:val="4D472DBC"/>
    <w:rsid w:val="58C6709C"/>
    <w:rsid w:val="59FB018C"/>
    <w:rsid w:val="5A020376"/>
    <w:rsid w:val="62202D2C"/>
    <w:rsid w:val="62947580"/>
    <w:rsid w:val="63882BE3"/>
    <w:rsid w:val="65DA6BDE"/>
    <w:rsid w:val="676A58F9"/>
    <w:rsid w:val="69E22E28"/>
    <w:rsid w:val="6C6E38C5"/>
    <w:rsid w:val="6DA206A1"/>
    <w:rsid w:val="6E2D209A"/>
    <w:rsid w:val="71115F46"/>
    <w:rsid w:val="73624375"/>
    <w:rsid w:val="737C0672"/>
    <w:rsid w:val="73AC5AC0"/>
    <w:rsid w:val="74FC4A05"/>
    <w:rsid w:val="7A0A4C39"/>
    <w:rsid w:val="7A6D7F90"/>
    <w:rsid w:val="7AFF04AC"/>
    <w:rsid w:val="7C1D65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2021-04-15T17:07:00Z</dcterms:created>
  <dc:creator>Administrator</dc:creator>
  <cp:lastModifiedBy>Administrator</cp:lastModifiedBy>
  <dcterms:modified xsi:type="dcterms:W3CDTF">2021-04-21T09:09:20Z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40B132B49DA142E2888DE2724947F346</vt:lpwstr>
  </property>
</Properties>
</file>