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sz w:val="32"/>
          <w:szCs w:val="32"/>
          <w:lang w:val="en-US" w:eastAsia="zh-CN"/>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3</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1</w:t>
      </w:r>
      <w:r>
        <w:rPr>
          <w:rFonts w:ascii="Times New Roman" w:hAnsi="Times New Roman" w:eastAsia="方正小标宋_GBK" w:cs="Times New Roman"/>
          <w:color w:val="000000"/>
          <w:kern w:val="0"/>
          <w:sz w:val="36"/>
          <w:szCs w:val="36"/>
        </w:rPr>
        <w:t>年度项目支出绩效自评表</w:t>
      </w:r>
    </w:p>
    <w:tbl>
      <w:tblPr>
        <w:tblStyle w:val="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601"/>
        <w:gridCol w:w="933"/>
        <w:gridCol w:w="1123"/>
        <w:gridCol w:w="804"/>
        <w:gridCol w:w="838"/>
        <w:gridCol w:w="1447"/>
        <w:gridCol w:w="663"/>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jc w:val="center"/>
        </w:trPr>
        <w:tc>
          <w:tcPr>
            <w:tcW w:w="529" w:type="pct"/>
            <w:noWrap w:val="0"/>
            <w:vAlign w:val="center"/>
          </w:tcPr>
          <w:p>
            <w:pPr>
              <w:widowControl/>
              <w:spacing w:line="26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项目名称</w:t>
            </w:r>
          </w:p>
        </w:tc>
        <w:tc>
          <w:tcPr>
            <w:tcW w:w="4470" w:type="pct"/>
            <w:gridSpan w:val="8"/>
            <w:noWrap w:val="0"/>
            <w:vAlign w:val="center"/>
          </w:tcPr>
          <w:p>
            <w:pPr>
              <w:widowControl/>
              <w:jc w:val="center"/>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益阳市农村宅基地和集体建设用地房地一体确权登记成果验收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主管部门</w:t>
            </w:r>
          </w:p>
        </w:tc>
        <w:tc>
          <w:tcPr>
            <w:tcW w:w="2031" w:type="pct"/>
            <w:gridSpan w:val="4"/>
            <w:noWrap w:val="0"/>
            <w:vAlign w:val="center"/>
          </w:tcPr>
          <w:p>
            <w:pPr>
              <w:widowControl/>
              <w:jc w:val="center"/>
              <w:rPr>
                <w:rFonts w:hint="default" w:ascii="Times New Roman" w:hAnsi="Times New Roman" w:eastAsia="仿宋_GB2312" w:cs="Times New Roman"/>
                <w:color w:val="000000"/>
                <w:kern w:val="0"/>
                <w:sz w:val="21"/>
                <w:szCs w:val="21"/>
                <w:lang w:val="en"/>
              </w:rPr>
            </w:pPr>
            <w:r>
              <w:rPr>
                <w:rFonts w:ascii="Times New Roman" w:hAnsi="Times New Roman" w:cs="Times New Roman"/>
                <w:color w:val="000000"/>
                <w:kern w:val="0"/>
                <w:sz w:val="21"/>
                <w:szCs w:val="21"/>
                <w:lang w:val="en"/>
              </w:rPr>
              <w:t>湖南省自然资源厅</w:t>
            </w:r>
          </w:p>
        </w:tc>
        <w:tc>
          <w:tcPr>
            <w:tcW w:w="490" w:type="pct"/>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实施单位</w:t>
            </w:r>
          </w:p>
        </w:tc>
        <w:tc>
          <w:tcPr>
            <w:tcW w:w="1949" w:type="pct"/>
            <w:gridSpan w:val="3"/>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益阳市自然资源和规划局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Merge w:val="restart"/>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项目资金</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（万元）</w:t>
            </w:r>
          </w:p>
        </w:tc>
        <w:tc>
          <w:tcPr>
            <w:tcW w:w="900" w:type="pct"/>
            <w:gridSpan w:val="2"/>
            <w:noWrap w:val="0"/>
            <w:vAlign w:val="center"/>
          </w:tcPr>
          <w:p>
            <w:pPr>
              <w:widowControl/>
              <w:jc w:val="center"/>
              <w:rPr>
                <w:rFonts w:ascii="Times New Roman" w:hAnsi="Times New Roman" w:eastAsia="仿宋_GB2312" w:cs="Times New Roman"/>
                <w:color w:val="000000"/>
                <w:kern w:val="0"/>
                <w:sz w:val="21"/>
                <w:szCs w:val="21"/>
              </w:rPr>
            </w:pPr>
          </w:p>
        </w:tc>
        <w:tc>
          <w:tcPr>
            <w:tcW w:w="659" w:type="pct"/>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年初</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471" w:type="pct"/>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全年</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预算数</w:t>
            </w:r>
          </w:p>
        </w:tc>
        <w:tc>
          <w:tcPr>
            <w:tcW w:w="490" w:type="pct"/>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全年</w:t>
            </w:r>
          </w:p>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执行数</w:t>
            </w:r>
          </w:p>
        </w:tc>
        <w:tc>
          <w:tcPr>
            <w:tcW w:w="849" w:type="pct"/>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389" w:type="pct"/>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711" w:type="pct"/>
            <w:noWrap w:val="0"/>
            <w:vAlign w:val="center"/>
          </w:tcPr>
          <w:p>
            <w:pPr>
              <w:jc w:val="center"/>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29" w:type="pct"/>
            <w:vMerge w:val="continue"/>
            <w:noWrap w:val="0"/>
            <w:vAlign w:val="center"/>
          </w:tcPr>
          <w:p>
            <w:pPr>
              <w:widowControl/>
              <w:jc w:val="center"/>
              <w:rPr>
                <w:rFonts w:ascii="Times New Roman" w:hAnsi="Times New Roman" w:eastAsia="仿宋_GB2312" w:cs="Times New Roman"/>
                <w:color w:val="000000"/>
                <w:kern w:val="0"/>
                <w:sz w:val="21"/>
                <w:szCs w:val="21"/>
              </w:rPr>
            </w:pPr>
          </w:p>
        </w:tc>
        <w:tc>
          <w:tcPr>
            <w:tcW w:w="900" w:type="pct"/>
            <w:gridSpan w:val="2"/>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年度资金总额</w:t>
            </w:r>
          </w:p>
        </w:tc>
        <w:tc>
          <w:tcPr>
            <w:tcW w:w="659" w:type="pct"/>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88.8</w:t>
            </w:r>
          </w:p>
        </w:tc>
        <w:tc>
          <w:tcPr>
            <w:tcW w:w="471" w:type="pct"/>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88.8</w:t>
            </w:r>
          </w:p>
        </w:tc>
        <w:tc>
          <w:tcPr>
            <w:tcW w:w="490" w:type="pct"/>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71.04</w:t>
            </w:r>
          </w:p>
        </w:tc>
        <w:tc>
          <w:tcPr>
            <w:tcW w:w="849" w:type="pct"/>
            <w:noWrap w:val="0"/>
            <w:vAlign w:val="center"/>
          </w:tcPr>
          <w:p>
            <w:pPr>
              <w:widowControl/>
              <w:jc w:val="center"/>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default" w:ascii="Times New Roman" w:hAnsi="Times New Roman" w:cs="Times New Roman"/>
                <w:color w:val="000000"/>
                <w:kern w:val="0"/>
                <w:sz w:val="21"/>
                <w:szCs w:val="21"/>
                <w:lang w:val="en" w:eastAsia="zh-CN"/>
              </w:rPr>
              <w:t>0</w:t>
            </w:r>
          </w:p>
        </w:tc>
        <w:tc>
          <w:tcPr>
            <w:tcW w:w="389" w:type="pct"/>
            <w:noWrap w:val="0"/>
            <w:vAlign w:val="center"/>
          </w:tcPr>
          <w:p>
            <w:pPr>
              <w:widowControl/>
              <w:jc w:val="center"/>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80%</w:t>
            </w:r>
          </w:p>
        </w:tc>
        <w:tc>
          <w:tcPr>
            <w:tcW w:w="711" w:type="pct"/>
            <w:noWrap w:val="0"/>
            <w:vAlign w:val="center"/>
          </w:tcPr>
          <w:p>
            <w:pPr>
              <w:widowControl/>
              <w:jc w:val="center"/>
              <w:rPr>
                <w:rFonts w:hint="default" w:ascii="Times New Roman" w:hAnsi="Times New Roman" w:eastAsia="仿宋_GB2312" w:cs="Times New Roman"/>
                <w:color w:val="000000"/>
                <w:kern w:val="0"/>
                <w:sz w:val="21"/>
                <w:szCs w:val="21"/>
                <w:lang w:val="en" w:eastAsia="zh-CN"/>
              </w:rPr>
            </w:pPr>
            <w:r>
              <w:rPr>
                <w:rFonts w:hint="eastAsia" w:ascii="Times New Roman" w:hAnsi="Times New Roman" w:cs="Times New Roman"/>
                <w:color w:val="000000"/>
                <w:kern w:val="0"/>
                <w:sz w:val="21"/>
                <w:szCs w:val="21"/>
                <w:lang w:val="en-US" w:eastAsia="zh-CN"/>
              </w:rPr>
              <w:t>10</w:t>
            </w:r>
            <w:r>
              <w:rPr>
                <w:rFonts w:hint="default" w:ascii="Times New Roman" w:hAnsi="Times New Roman" w:cs="Times New Roman"/>
                <w:color w:val="000000"/>
                <w:kern w:val="0"/>
                <w:sz w:val="21"/>
                <w:szCs w:val="21"/>
                <w:lang w:val="en"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29" w:type="pct"/>
            <w:vMerge w:val="continue"/>
            <w:noWrap w:val="0"/>
            <w:vAlign w:val="center"/>
          </w:tcPr>
          <w:p>
            <w:pPr>
              <w:widowControl/>
              <w:jc w:val="center"/>
              <w:rPr>
                <w:rFonts w:ascii="Times New Roman" w:hAnsi="Times New Roman" w:eastAsia="仿宋_GB2312" w:cs="Times New Roman"/>
                <w:color w:val="000000"/>
                <w:kern w:val="0"/>
                <w:sz w:val="21"/>
                <w:szCs w:val="21"/>
              </w:rPr>
            </w:pPr>
          </w:p>
        </w:tc>
        <w:tc>
          <w:tcPr>
            <w:tcW w:w="900" w:type="pct"/>
            <w:gridSpan w:val="2"/>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其中：当年财政拨款</w:t>
            </w:r>
          </w:p>
        </w:tc>
        <w:tc>
          <w:tcPr>
            <w:tcW w:w="659" w:type="pct"/>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88.8</w:t>
            </w:r>
          </w:p>
        </w:tc>
        <w:tc>
          <w:tcPr>
            <w:tcW w:w="471" w:type="pct"/>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88.8</w:t>
            </w:r>
          </w:p>
        </w:tc>
        <w:tc>
          <w:tcPr>
            <w:tcW w:w="490" w:type="pct"/>
            <w:noWrap w:val="0"/>
            <w:vAlign w:val="center"/>
          </w:tcPr>
          <w:p>
            <w:pPr>
              <w:widowControl/>
              <w:jc w:val="center"/>
              <w:rPr>
                <w:rFonts w:hint="default" w:ascii="Times New Roman" w:hAnsi="Times New Roman" w:eastAsia="仿宋_GB2312" w:cs="Times New Roman"/>
                <w:color w:val="000000"/>
                <w:kern w:val="0"/>
                <w:sz w:val="21"/>
                <w:szCs w:val="21"/>
                <w:lang w:val="en-US"/>
              </w:rPr>
            </w:pPr>
            <w:r>
              <w:rPr>
                <w:rFonts w:hint="eastAsia" w:ascii="Times New Roman" w:hAnsi="Times New Roman" w:cs="Times New Roman"/>
                <w:color w:val="000000"/>
                <w:kern w:val="0"/>
                <w:sz w:val="21"/>
                <w:szCs w:val="21"/>
                <w:lang w:val="en-US" w:eastAsia="zh-CN"/>
              </w:rPr>
              <w:t>71.04</w:t>
            </w:r>
          </w:p>
        </w:tc>
        <w:tc>
          <w:tcPr>
            <w:tcW w:w="849" w:type="pct"/>
            <w:noWrap w:val="0"/>
            <w:vAlign w:val="center"/>
          </w:tcPr>
          <w:p>
            <w:pPr>
              <w:widowControl/>
              <w:jc w:val="center"/>
              <w:rPr>
                <w:rFonts w:hint="eastAsia"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1</w:t>
            </w:r>
            <w:r>
              <w:rPr>
                <w:rFonts w:hint="eastAsia" w:ascii="Times New Roman" w:hAnsi="Times New Roman" w:cs="Times New Roman"/>
                <w:color w:val="000000"/>
                <w:kern w:val="0"/>
                <w:sz w:val="21"/>
                <w:szCs w:val="21"/>
                <w:lang w:val="en-US" w:eastAsia="zh-CN"/>
              </w:rPr>
              <w:t>0</w:t>
            </w:r>
            <w:r>
              <w:rPr>
                <w:rFonts w:hint="default" w:ascii="Times New Roman" w:hAnsi="Times New Roman" w:cs="Times New Roman"/>
                <w:color w:val="000000"/>
                <w:kern w:val="0"/>
                <w:sz w:val="21"/>
                <w:szCs w:val="21"/>
                <w:lang w:val="en" w:eastAsia="zh-CN"/>
              </w:rPr>
              <w:t>0</w:t>
            </w:r>
          </w:p>
        </w:tc>
        <w:tc>
          <w:tcPr>
            <w:tcW w:w="389" w:type="pct"/>
            <w:noWrap w:val="0"/>
            <w:vAlign w:val="center"/>
          </w:tcPr>
          <w:p>
            <w:pPr>
              <w:widowControl/>
              <w:jc w:val="center"/>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80%</w:t>
            </w:r>
          </w:p>
        </w:tc>
        <w:tc>
          <w:tcPr>
            <w:tcW w:w="711" w:type="pct"/>
            <w:noWrap w:val="0"/>
            <w:vAlign w:val="center"/>
          </w:tcPr>
          <w:p>
            <w:pPr>
              <w:widowControl/>
              <w:jc w:val="center"/>
              <w:rPr>
                <w:rFonts w:hint="default" w:ascii="Times New Roman" w:hAnsi="Times New Roman" w:eastAsia="仿宋_GB2312" w:cs="Times New Roman"/>
                <w:color w:val="000000"/>
                <w:kern w:val="0"/>
                <w:sz w:val="21"/>
                <w:szCs w:val="21"/>
                <w:lang w:val="en" w:eastAsia="zh-CN" w:bidi="ar-SA"/>
              </w:rPr>
            </w:pPr>
            <w:r>
              <w:rPr>
                <w:rFonts w:hint="eastAsia" w:ascii="Times New Roman" w:hAnsi="Times New Roman" w:cs="Times New Roman"/>
                <w:color w:val="000000"/>
                <w:kern w:val="0"/>
                <w:sz w:val="21"/>
                <w:szCs w:val="21"/>
                <w:lang w:val="en-US" w:eastAsia="zh-CN"/>
              </w:rPr>
              <w:t>10</w:t>
            </w:r>
            <w:r>
              <w:rPr>
                <w:rFonts w:hint="default" w:ascii="Times New Roman" w:hAnsi="Times New Roman" w:cs="Times New Roman"/>
                <w:color w:val="000000"/>
                <w:kern w:val="0"/>
                <w:sz w:val="21"/>
                <w:szCs w:val="21"/>
                <w:lang w:val="en"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Merge w:val="continue"/>
            <w:noWrap w:val="0"/>
            <w:vAlign w:val="center"/>
          </w:tcPr>
          <w:p>
            <w:pPr>
              <w:widowControl/>
              <w:jc w:val="center"/>
              <w:rPr>
                <w:rFonts w:ascii="Times New Roman" w:hAnsi="Times New Roman" w:eastAsia="仿宋_GB2312" w:cs="Times New Roman"/>
                <w:color w:val="000000"/>
                <w:kern w:val="0"/>
                <w:sz w:val="21"/>
                <w:szCs w:val="21"/>
              </w:rPr>
            </w:pPr>
          </w:p>
        </w:tc>
        <w:tc>
          <w:tcPr>
            <w:tcW w:w="900" w:type="pct"/>
            <w:gridSpan w:val="2"/>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上年结转资金</w:t>
            </w:r>
          </w:p>
        </w:tc>
        <w:tc>
          <w:tcPr>
            <w:tcW w:w="659" w:type="pct"/>
            <w:noWrap w:val="0"/>
            <w:vAlign w:val="center"/>
          </w:tcPr>
          <w:p>
            <w:pPr>
              <w:widowControl/>
              <w:jc w:val="center"/>
              <w:rPr>
                <w:rFonts w:ascii="Times New Roman" w:hAnsi="Times New Roman" w:eastAsia="仿宋_GB2312" w:cs="Times New Roman"/>
                <w:color w:val="000000"/>
                <w:kern w:val="0"/>
                <w:sz w:val="21"/>
                <w:szCs w:val="21"/>
              </w:rPr>
            </w:pPr>
          </w:p>
        </w:tc>
        <w:tc>
          <w:tcPr>
            <w:tcW w:w="471" w:type="pct"/>
            <w:noWrap w:val="0"/>
            <w:vAlign w:val="center"/>
          </w:tcPr>
          <w:p>
            <w:pPr>
              <w:widowControl/>
              <w:jc w:val="center"/>
              <w:rPr>
                <w:rFonts w:ascii="Times New Roman" w:hAnsi="Times New Roman" w:eastAsia="仿宋_GB2312" w:cs="Times New Roman"/>
                <w:color w:val="000000"/>
                <w:kern w:val="0"/>
                <w:sz w:val="21"/>
                <w:szCs w:val="21"/>
              </w:rPr>
            </w:pPr>
          </w:p>
        </w:tc>
        <w:tc>
          <w:tcPr>
            <w:tcW w:w="490" w:type="pct"/>
            <w:noWrap w:val="0"/>
            <w:vAlign w:val="center"/>
          </w:tcPr>
          <w:p>
            <w:pPr>
              <w:widowControl/>
              <w:jc w:val="center"/>
              <w:rPr>
                <w:rFonts w:ascii="Times New Roman" w:hAnsi="Times New Roman" w:eastAsia="仿宋_GB2312" w:cs="Times New Roman"/>
                <w:color w:val="000000"/>
                <w:kern w:val="0"/>
                <w:sz w:val="21"/>
                <w:szCs w:val="21"/>
              </w:rPr>
            </w:pPr>
          </w:p>
        </w:tc>
        <w:tc>
          <w:tcPr>
            <w:tcW w:w="849" w:type="pct"/>
            <w:noWrap w:val="0"/>
            <w:vAlign w:val="center"/>
          </w:tcPr>
          <w:p>
            <w:pPr>
              <w:widowControl/>
              <w:jc w:val="center"/>
              <w:rPr>
                <w:rFonts w:ascii="Times New Roman" w:hAnsi="Times New Roman" w:eastAsia="仿宋_GB2312" w:cs="Times New Roman"/>
                <w:color w:val="000000"/>
                <w:kern w:val="0"/>
                <w:sz w:val="21"/>
                <w:szCs w:val="21"/>
              </w:rPr>
            </w:pPr>
          </w:p>
        </w:tc>
        <w:tc>
          <w:tcPr>
            <w:tcW w:w="389" w:type="pct"/>
            <w:noWrap w:val="0"/>
            <w:vAlign w:val="center"/>
          </w:tcPr>
          <w:p>
            <w:pPr>
              <w:widowControl/>
              <w:jc w:val="center"/>
              <w:rPr>
                <w:rFonts w:ascii="Times New Roman" w:hAnsi="Times New Roman" w:eastAsia="仿宋_GB2312" w:cs="Times New Roman"/>
                <w:color w:val="000000"/>
                <w:kern w:val="0"/>
                <w:sz w:val="21"/>
                <w:szCs w:val="21"/>
              </w:rPr>
            </w:pPr>
          </w:p>
        </w:tc>
        <w:tc>
          <w:tcPr>
            <w:tcW w:w="711" w:type="pct"/>
            <w:noWrap w:val="0"/>
            <w:vAlign w:val="center"/>
          </w:tcPr>
          <w:p>
            <w:pPr>
              <w:widowControl/>
              <w:jc w:val="center"/>
              <w:rPr>
                <w:rFonts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Merge w:val="continue"/>
            <w:noWrap w:val="0"/>
            <w:vAlign w:val="center"/>
          </w:tcPr>
          <w:p>
            <w:pPr>
              <w:widowControl/>
              <w:jc w:val="center"/>
              <w:rPr>
                <w:rFonts w:ascii="Times New Roman" w:hAnsi="Times New Roman" w:eastAsia="仿宋_GB2312" w:cs="Times New Roman"/>
                <w:color w:val="000000"/>
                <w:kern w:val="0"/>
                <w:sz w:val="21"/>
                <w:szCs w:val="21"/>
              </w:rPr>
            </w:pPr>
          </w:p>
        </w:tc>
        <w:tc>
          <w:tcPr>
            <w:tcW w:w="900" w:type="pct"/>
            <w:gridSpan w:val="2"/>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其他资金</w:t>
            </w:r>
          </w:p>
        </w:tc>
        <w:tc>
          <w:tcPr>
            <w:tcW w:w="659" w:type="pct"/>
            <w:noWrap w:val="0"/>
            <w:vAlign w:val="center"/>
          </w:tcPr>
          <w:p>
            <w:pPr>
              <w:widowControl/>
              <w:jc w:val="center"/>
              <w:rPr>
                <w:rFonts w:ascii="Times New Roman" w:hAnsi="Times New Roman" w:eastAsia="仿宋_GB2312" w:cs="Times New Roman"/>
                <w:color w:val="000000"/>
                <w:kern w:val="0"/>
                <w:sz w:val="21"/>
                <w:szCs w:val="21"/>
              </w:rPr>
            </w:pPr>
          </w:p>
        </w:tc>
        <w:tc>
          <w:tcPr>
            <w:tcW w:w="471" w:type="pct"/>
            <w:noWrap w:val="0"/>
            <w:vAlign w:val="center"/>
          </w:tcPr>
          <w:p>
            <w:pPr>
              <w:widowControl/>
              <w:jc w:val="center"/>
              <w:rPr>
                <w:rFonts w:ascii="Times New Roman" w:hAnsi="Times New Roman" w:eastAsia="仿宋_GB2312" w:cs="Times New Roman"/>
                <w:color w:val="000000"/>
                <w:kern w:val="0"/>
                <w:sz w:val="21"/>
                <w:szCs w:val="21"/>
              </w:rPr>
            </w:pPr>
          </w:p>
        </w:tc>
        <w:tc>
          <w:tcPr>
            <w:tcW w:w="490" w:type="pct"/>
            <w:noWrap w:val="0"/>
            <w:vAlign w:val="center"/>
          </w:tcPr>
          <w:p>
            <w:pPr>
              <w:widowControl/>
              <w:jc w:val="center"/>
              <w:rPr>
                <w:rFonts w:ascii="Times New Roman" w:hAnsi="Times New Roman" w:eastAsia="仿宋_GB2312" w:cs="Times New Roman"/>
                <w:color w:val="000000"/>
                <w:kern w:val="0"/>
                <w:sz w:val="21"/>
                <w:szCs w:val="21"/>
              </w:rPr>
            </w:pPr>
          </w:p>
        </w:tc>
        <w:tc>
          <w:tcPr>
            <w:tcW w:w="849" w:type="pct"/>
            <w:noWrap w:val="0"/>
            <w:vAlign w:val="center"/>
          </w:tcPr>
          <w:p>
            <w:pPr>
              <w:widowControl/>
              <w:jc w:val="center"/>
              <w:rPr>
                <w:rFonts w:ascii="Times New Roman" w:hAnsi="Times New Roman" w:eastAsia="仿宋_GB2312" w:cs="Times New Roman"/>
                <w:color w:val="000000"/>
                <w:kern w:val="0"/>
                <w:sz w:val="21"/>
                <w:szCs w:val="21"/>
              </w:rPr>
            </w:pPr>
          </w:p>
        </w:tc>
        <w:tc>
          <w:tcPr>
            <w:tcW w:w="389" w:type="pct"/>
            <w:noWrap w:val="0"/>
            <w:vAlign w:val="center"/>
          </w:tcPr>
          <w:p>
            <w:pPr>
              <w:widowControl/>
              <w:jc w:val="center"/>
              <w:rPr>
                <w:rFonts w:ascii="Times New Roman" w:hAnsi="Times New Roman" w:eastAsia="仿宋_GB2312" w:cs="Times New Roman"/>
                <w:color w:val="000000"/>
                <w:kern w:val="0"/>
                <w:sz w:val="21"/>
                <w:szCs w:val="21"/>
              </w:rPr>
            </w:pPr>
          </w:p>
        </w:tc>
        <w:tc>
          <w:tcPr>
            <w:tcW w:w="711" w:type="pct"/>
            <w:noWrap w:val="0"/>
            <w:vAlign w:val="center"/>
          </w:tcPr>
          <w:p>
            <w:pPr>
              <w:widowControl/>
              <w:jc w:val="center"/>
              <w:rPr>
                <w:rFonts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Merge w:val="restart"/>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2031" w:type="pct"/>
            <w:gridSpan w:val="4"/>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2439" w:type="pct"/>
            <w:gridSpan w:val="4"/>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jc w:val="center"/>
        </w:trPr>
        <w:tc>
          <w:tcPr>
            <w:tcW w:w="529" w:type="pct"/>
            <w:vMerge w:val="continue"/>
            <w:noWrap w:val="0"/>
            <w:vAlign w:val="center"/>
          </w:tcPr>
          <w:p>
            <w:pPr>
              <w:widowControl/>
              <w:jc w:val="center"/>
              <w:rPr>
                <w:rFonts w:ascii="Times New Roman" w:hAnsi="Times New Roman" w:eastAsia="仿宋_GB2312" w:cs="Times New Roman"/>
                <w:color w:val="000000"/>
                <w:kern w:val="0"/>
                <w:sz w:val="21"/>
                <w:szCs w:val="21"/>
              </w:rPr>
            </w:pPr>
          </w:p>
        </w:tc>
        <w:tc>
          <w:tcPr>
            <w:tcW w:w="2031" w:type="pct"/>
            <w:gridSpan w:val="4"/>
            <w:noWrap w:val="0"/>
            <w:vAlign w:val="center"/>
          </w:tcPr>
          <w:p>
            <w:pPr>
              <w:widowControl/>
              <w:numPr>
                <w:ilvl w:val="0"/>
                <w:numId w:val="0"/>
              </w:numPr>
              <w:jc w:val="left"/>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val="en-US" w:eastAsia="zh-CN"/>
              </w:rPr>
              <w:t>1.根据省厅《关于印发&lt;湖南省农村宅基地房地一体确权登记颁证工作实施方案&gt;的通知》（湘自然资发〔2019〕29号）统一安排，完成数据成果验收并汇交至省厅。</w:t>
            </w:r>
          </w:p>
        </w:tc>
        <w:tc>
          <w:tcPr>
            <w:tcW w:w="2439" w:type="pct"/>
            <w:gridSpan w:val="4"/>
            <w:noWrap w:val="0"/>
            <w:vAlign w:val="center"/>
          </w:tcPr>
          <w:p>
            <w:pPr>
              <w:widowControl/>
              <w:jc w:val="left"/>
              <w:rPr>
                <w:rFonts w:hint="eastAsia"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val="en-US" w:eastAsia="zh-CN"/>
              </w:rPr>
              <w:t>1.</w:t>
            </w:r>
            <w:r>
              <w:rPr>
                <w:rFonts w:hint="eastAsia" w:ascii="Times New Roman" w:hAnsi="Times New Roman" w:cs="Times New Roman"/>
                <w:color w:val="000000"/>
                <w:kern w:val="0"/>
                <w:sz w:val="21"/>
                <w:szCs w:val="21"/>
                <w:lang w:eastAsia="zh-CN"/>
              </w:rPr>
              <w:t>我局</w:t>
            </w:r>
            <w:r>
              <w:rPr>
                <w:rFonts w:hint="eastAsia" w:ascii="Times New Roman" w:hAnsi="Times New Roman" w:eastAsia="仿宋_GB2312" w:cs="Times New Roman"/>
                <w:color w:val="000000"/>
                <w:kern w:val="0"/>
                <w:sz w:val="21"/>
                <w:szCs w:val="21"/>
              </w:rPr>
              <w:t>于2021年12月23日形成了市级检查验收意见，各区县（市）房地一体成果市级检查验收为合格。</w:t>
            </w:r>
          </w:p>
          <w:p>
            <w:pPr>
              <w:widowControl/>
              <w:jc w:val="left"/>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2.</w:t>
            </w:r>
            <w:r>
              <w:rPr>
                <w:rFonts w:hint="eastAsia" w:ascii="Times New Roman" w:hAnsi="Times New Roman" w:cs="Times New Roman"/>
                <w:color w:val="000000"/>
                <w:kern w:val="0"/>
                <w:sz w:val="21"/>
                <w:szCs w:val="21"/>
                <w:lang w:eastAsia="zh-CN"/>
              </w:rPr>
              <w:t>按省厅</w:t>
            </w:r>
            <w:r>
              <w:rPr>
                <w:rFonts w:hint="eastAsia" w:ascii="Times New Roman" w:hAnsi="Times New Roman" w:cs="Times New Roman"/>
                <w:color w:val="000000"/>
                <w:kern w:val="0"/>
                <w:sz w:val="21"/>
                <w:szCs w:val="21"/>
                <w:lang w:val="en-US" w:eastAsia="zh-CN"/>
              </w:rPr>
              <w:t>51号文，正在稳步推进，目前已完成资阳、沅江数据库成果汇交，我局确保在2022年11月底前全部完成数据库汇交。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Merge w:val="restart"/>
            <w:noWrap w:val="0"/>
            <w:vAlign w:val="center"/>
          </w:tcPr>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widowControl/>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widowControl/>
              <w:jc w:val="center"/>
              <w:rPr>
                <w:rFonts w:ascii="Times New Roman" w:hAnsi="Times New Roman" w:eastAsia="仿宋_GB2312" w:cs="Times New Roman"/>
                <w:color w:val="000000"/>
                <w:kern w:val="0"/>
                <w:sz w:val="21"/>
                <w:szCs w:val="21"/>
              </w:rPr>
            </w:pPr>
          </w:p>
        </w:tc>
        <w:tc>
          <w:tcPr>
            <w:tcW w:w="352" w:type="pct"/>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547" w:type="pct"/>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659" w:type="pct"/>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471" w:type="pct"/>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490" w:type="pct"/>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完成值</w:t>
            </w:r>
          </w:p>
        </w:tc>
        <w:tc>
          <w:tcPr>
            <w:tcW w:w="849" w:type="pct"/>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389" w:type="pct"/>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711" w:type="pct"/>
            <w:noWrap w:val="0"/>
            <w:vAlign w:val="center"/>
          </w:tcPr>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widowControl/>
              <w:spacing w:line="240" w:lineRule="exact"/>
              <w:jc w:val="center"/>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35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default" w:ascii="Times New Roman" w:hAnsi="Times New Roman" w:cs="Times New Roman"/>
                <w:color w:val="000000"/>
                <w:kern w:val="0"/>
                <w:sz w:val="21"/>
                <w:szCs w:val="21"/>
                <w:lang w:val="en" w:eastAsia="zh-CN"/>
              </w:rPr>
              <w:t>100</w:t>
            </w:r>
            <w:r>
              <w:rPr>
                <w:rFonts w:ascii="Times New Roman" w:hAnsi="Times New Roman" w:eastAsia="仿宋_GB2312" w:cs="Times New Roman"/>
                <w:color w:val="000000"/>
                <w:kern w:val="0"/>
                <w:sz w:val="21"/>
                <w:szCs w:val="21"/>
              </w:rPr>
              <w:t>分)</w:t>
            </w:r>
          </w:p>
        </w:tc>
        <w:tc>
          <w:tcPr>
            <w:tcW w:w="54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数量指标</w:t>
            </w:r>
            <w:r>
              <w:rPr>
                <w:rFonts w:hint="eastAsia" w:ascii="Times New Roman" w:hAnsi="Times New Roman" w:cs="Times New Roman"/>
                <w:color w:val="000000"/>
                <w:kern w:val="0"/>
                <w:sz w:val="21"/>
                <w:szCs w:val="21"/>
                <w:lang w:eastAsia="zh-CN"/>
              </w:rPr>
              <w:t>（</w:t>
            </w:r>
            <w:r>
              <w:rPr>
                <w:rFonts w:hint="eastAsia" w:ascii="Times New Roman" w:hAnsi="Times New Roman" w:cs="Times New Roman"/>
                <w:color w:val="000000"/>
                <w:kern w:val="0"/>
                <w:sz w:val="21"/>
                <w:szCs w:val="21"/>
                <w:lang w:val="en-US" w:eastAsia="zh-CN"/>
              </w:rPr>
              <w:t>15分</w:t>
            </w:r>
            <w:r>
              <w:rPr>
                <w:rFonts w:hint="eastAsia" w:ascii="Times New Roman" w:hAnsi="Times New Roman" w:cs="Times New Roman"/>
                <w:color w:val="000000"/>
                <w:kern w:val="0"/>
                <w:sz w:val="21"/>
                <w:szCs w:val="21"/>
                <w:lang w:eastAsia="zh-CN"/>
              </w:rPr>
              <w:t>）</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实际完成率</w:t>
            </w:r>
          </w:p>
        </w:tc>
        <w:tc>
          <w:tcPr>
            <w:tcW w:w="4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49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84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对七个区县（市）进行市级验收与复核，计</w:t>
            </w:r>
            <w:r>
              <w:rPr>
                <w:rFonts w:hint="eastAsia" w:ascii="Times New Roman" w:hAnsi="Times New Roman" w:cs="Times New Roman"/>
                <w:color w:val="000000"/>
                <w:kern w:val="0"/>
                <w:sz w:val="21"/>
                <w:szCs w:val="21"/>
                <w:lang w:val="en-US" w:eastAsia="zh-CN"/>
              </w:rPr>
              <w:t>15分，有一个区县（市）未完成扣2分。</w:t>
            </w:r>
          </w:p>
        </w:tc>
        <w:tc>
          <w:tcPr>
            <w:tcW w:w="3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15</w:t>
            </w:r>
          </w:p>
        </w:tc>
        <w:tc>
          <w:tcPr>
            <w:tcW w:w="71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35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54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质量指标</w:t>
            </w:r>
            <w:r>
              <w:rPr>
                <w:rFonts w:hint="eastAsia" w:ascii="Times New Roman" w:hAnsi="Times New Roman" w:cs="Times New Roman"/>
                <w:color w:val="000000"/>
                <w:kern w:val="0"/>
                <w:sz w:val="21"/>
                <w:szCs w:val="21"/>
                <w:lang w:eastAsia="zh-CN"/>
              </w:rPr>
              <w:t>（</w:t>
            </w:r>
            <w:r>
              <w:rPr>
                <w:rFonts w:hint="eastAsia" w:ascii="Times New Roman" w:hAnsi="Times New Roman" w:cs="Times New Roman"/>
                <w:color w:val="000000"/>
                <w:kern w:val="0"/>
                <w:sz w:val="21"/>
                <w:szCs w:val="21"/>
                <w:lang w:val="en-US" w:eastAsia="zh-CN"/>
              </w:rPr>
              <w:t>15分</w:t>
            </w:r>
            <w:r>
              <w:rPr>
                <w:rFonts w:hint="eastAsia" w:ascii="Times New Roman" w:hAnsi="Times New Roman" w:cs="Times New Roman"/>
                <w:color w:val="000000"/>
                <w:kern w:val="0"/>
                <w:sz w:val="21"/>
                <w:szCs w:val="21"/>
                <w:lang w:eastAsia="zh-CN"/>
              </w:rPr>
              <w:t>）</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eastAsia="zh-CN"/>
              </w:rPr>
              <w:t>验收合格率</w:t>
            </w:r>
          </w:p>
        </w:tc>
        <w:tc>
          <w:tcPr>
            <w:tcW w:w="4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100%</w:t>
            </w:r>
          </w:p>
        </w:tc>
        <w:tc>
          <w:tcPr>
            <w:tcW w:w="49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rPr>
              <w:t>100%</w:t>
            </w:r>
          </w:p>
        </w:tc>
        <w:tc>
          <w:tcPr>
            <w:tcW w:w="84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eastAsia="zh-CN"/>
              </w:rPr>
              <w:t>是否达到检查验收方案要求，全部验收合格计</w:t>
            </w:r>
            <w:r>
              <w:rPr>
                <w:rFonts w:hint="eastAsia" w:ascii="Times New Roman" w:hAnsi="Times New Roman" w:cs="Times New Roman"/>
                <w:color w:val="000000"/>
                <w:kern w:val="0"/>
                <w:sz w:val="21"/>
                <w:szCs w:val="21"/>
                <w:lang w:val="en-US" w:eastAsia="zh-CN"/>
              </w:rPr>
              <w:t>15分，有一个区县（市）不合格扣2分。</w:t>
            </w:r>
          </w:p>
        </w:tc>
        <w:tc>
          <w:tcPr>
            <w:tcW w:w="3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val="en-US" w:eastAsia="zh-CN" w:bidi="ar-SA"/>
              </w:rPr>
              <w:t>15</w:t>
            </w:r>
          </w:p>
        </w:tc>
        <w:tc>
          <w:tcPr>
            <w:tcW w:w="71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3" w:hRule="atLeast"/>
          <w:jc w:val="center"/>
        </w:trPr>
        <w:tc>
          <w:tcPr>
            <w:tcW w:w="529" w:type="pct"/>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35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54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时效指标</w:t>
            </w:r>
            <w:r>
              <w:rPr>
                <w:rFonts w:hint="eastAsia" w:ascii="Times New Roman" w:hAnsi="Times New Roman" w:cs="Times New Roman"/>
                <w:color w:val="000000"/>
                <w:kern w:val="0"/>
                <w:sz w:val="21"/>
                <w:szCs w:val="21"/>
                <w:lang w:eastAsia="zh-CN"/>
              </w:rPr>
              <w:t>（</w:t>
            </w:r>
            <w:r>
              <w:rPr>
                <w:rFonts w:hint="eastAsia" w:ascii="Times New Roman" w:hAnsi="Times New Roman" w:cs="Times New Roman"/>
                <w:color w:val="000000"/>
                <w:kern w:val="0"/>
                <w:sz w:val="21"/>
                <w:szCs w:val="21"/>
                <w:lang w:val="en-US" w:eastAsia="zh-CN"/>
              </w:rPr>
              <w:t>10分</w:t>
            </w:r>
            <w:r>
              <w:rPr>
                <w:rFonts w:hint="eastAsia" w:ascii="Times New Roman" w:hAnsi="Times New Roman" w:cs="Times New Roman"/>
                <w:color w:val="000000"/>
                <w:kern w:val="0"/>
                <w:sz w:val="21"/>
                <w:szCs w:val="21"/>
                <w:lang w:eastAsia="zh-CN"/>
              </w:rPr>
              <w:t>）</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完成及时率</w:t>
            </w:r>
          </w:p>
        </w:tc>
        <w:tc>
          <w:tcPr>
            <w:tcW w:w="4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49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84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如期完成计</w:t>
            </w:r>
            <w:r>
              <w:rPr>
                <w:rFonts w:hint="eastAsia" w:ascii="Times New Roman" w:hAnsi="Times New Roman" w:cs="Times New Roman"/>
                <w:color w:val="000000"/>
                <w:kern w:val="0"/>
                <w:sz w:val="21"/>
                <w:szCs w:val="21"/>
                <w:lang w:val="en-US" w:eastAsia="zh-CN"/>
              </w:rPr>
              <w:t>10分，超时扣5分。</w:t>
            </w:r>
          </w:p>
        </w:tc>
        <w:tc>
          <w:tcPr>
            <w:tcW w:w="3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71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29" w:type="pct"/>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35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54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成本</w:t>
            </w:r>
            <w:r>
              <w:rPr>
                <w:rFonts w:ascii="Times New Roman" w:hAnsi="Times New Roman" w:eastAsia="仿宋_GB2312" w:cs="Times New Roman"/>
                <w:color w:val="000000"/>
                <w:kern w:val="0"/>
                <w:sz w:val="21"/>
                <w:szCs w:val="21"/>
              </w:rPr>
              <w:t>指标</w:t>
            </w:r>
            <w:r>
              <w:rPr>
                <w:rFonts w:hint="eastAsia" w:ascii="Times New Roman" w:hAnsi="Times New Roman" w:cs="Times New Roman"/>
                <w:color w:val="000000"/>
                <w:kern w:val="0"/>
                <w:sz w:val="21"/>
                <w:szCs w:val="21"/>
                <w:lang w:eastAsia="zh-CN"/>
              </w:rPr>
              <w:t>（</w:t>
            </w:r>
            <w:r>
              <w:rPr>
                <w:rFonts w:hint="eastAsia" w:ascii="Times New Roman" w:hAnsi="Times New Roman" w:cs="Times New Roman"/>
                <w:color w:val="000000"/>
                <w:kern w:val="0"/>
                <w:sz w:val="21"/>
                <w:szCs w:val="21"/>
                <w:lang w:val="en-US" w:eastAsia="zh-CN"/>
              </w:rPr>
              <w:t>10分</w:t>
            </w:r>
            <w:r>
              <w:rPr>
                <w:rFonts w:hint="eastAsia" w:ascii="Times New Roman" w:hAnsi="Times New Roman" w:cs="Times New Roman"/>
                <w:color w:val="000000"/>
                <w:kern w:val="0"/>
                <w:sz w:val="21"/>
                <w:szCs w:val="21"/>
                <w:lang w:eastAsia="zh-CN"/>
              </w:rPr>
              <w:t>）</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成本节约率</w:t>
            </w:r>
          </w:p>
        </w:tc>
        <w:tc>
          <w:tcPr>
            <w:tcW w:w="4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49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84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公开招标确定此次市级验收的技术支持单位并按合同金额申请财政拨款，计</w:t>
            </w:r>
            <w:r>
              <w:rPr>
                <w:rFonts w:hint="eastAsia" w:ascii="Times New Roman" w:hAnsi="Times New Roman" w:cs="Times New Roman"/>
                <w:color w:val="000000"/>
                <w:kern w:val="0"/>
                <w:sz w:val="21"/>
                <w:szCs w:val="21"/>
                <w:lang w:val="en-US" w:eastAsia="zh-CN"/>
              </w:rPr>
              <w:t>10分。</w:t>
            </w:r>
          </w:p>
        </w:tc>
        <w:tc>
          <w:tcPr>
            <w:tcW w:w="3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71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529" w:type="pct"/>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352" w:type="pct"/>
            <w:vMerge w:val="restar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54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w:t>
            </w:r>
            <w:r>
              <w:rPr>
                <w:rFonts w:hint="eastAsia" w:ascii="Times New Roman" w:hAnsi="Times New Roman" w:cs="Times New Roman"/>
                <w:color w:val="000000"/>
                <w:kern w:val="0"/>
                <w:sz w:val="21"/>
                <w:szCs w:val="21"/>
                <w:lang w:val="en-US" w:eastAsia="zh-CN"/>
              </w:rPr>
              <w:t>15分</w:t>
            </w:r>
            <w:r>
              <w:rPr>
                <w:rFonts w:hint="eastAsia" w:ascii="Times New Roman" w:hAnsi="Times New Roman" w:cs="Times New Roman"/>
                <w:color w:val="000000"/>
                <w:kern w:val="0"/>
                <w:sz w:val="21"/>
                <w:szCs w:val="21"/>
                <w:lang w:eastAsia="zh-CN"/>
              </w:rPr>
              <w:t>）</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社会经济发展贡献度</w:t>
            </w:r>
          </w:p>
        </w:tc>
        <w:tc>
          <w:tcPr>
            <w:tcW w:w="4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 w:eastAsia="zh-CN"/>
              </w:rPr>
            </w:pPr>
            <w:r>
              <w:rPr>
                <w:rFonts w:hint="eastAsia" w:ascii="Times New Roman" w:hAnsi="Times New Roman" w:cs="Times New Roman"/>
                <w:color w:val="000000"/>
                <w:kern w:val="0"/>
                <w:sz w:val="21"/>
                <w:szCs w:val="21"/>
                <w:lang w:val="en" w:eastAsia="zh-CN"/>
              </w:rPr>
              <w:t>服务益阳经济高质量发展</w:t>
            </w:r>
          </w:p>
        </w:tc>
        <w:tc>
          <w:tcPr>
            <w:tcW w:w="49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显著</w:t>
            </w:r>
          </w:p>
        </w:tc>
        <w:tc>
          <w:tcPr>
            <w:tcW w:w="84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效果显著的满分，一般显著得</w:t>
            </w:r>
            <w:r>
              <w:rPr>
                <w:rFonts w:hint="eastAsia" w:ascii="Times New Roman" w:hAnsi="Times New Roman" w:cs="Times New Roman"/>
                <w:color w:val="000000"/>
                <w:kern w:val="0"/>
                <w:sz w:val="21"/>
                <w:szCs w:val="21"/>
                <w:lang w:val="en-US" w:eastAsia="zh-CN"/>
              </w:rPr>
              <w:t>5分，不显著得0分</w:t>
            </w:r>
          </w:p>
        </w:tc>
        <w:tc>
          <w:tcPr>
            <w:tcW w:w="3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15</w:t>
            </w:r>
          </w:p>
        </w:tc>
        <w:tc>
          <w:tcPr>
            <w:tcW w:w="71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jc w:val="center"/>
        </w:trPr>
        <w:tc>
          <w:tcPr>
            <w:tcW w:w="529" w:type="pct"/>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35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54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w:t>
            </w:r>
            <w:r>
              <w:rPr>
                <w:rFonts w:hint="eastAsia" w:ascii="Times New Roman" w:hAnsi="Times New Roman" w:cs="Times New Roman"/>
                <w:color w:val="000000"/>
                <w:kern w:val="0"/>
                <w:sz w:val="21"/>
                <w:szCs w:val="21"/>
                <w:lang w:val="en-US" w:eastAsia="zh-CN"/>
              </w:rPr>
              <w:t>15分</w:t>
            </w:r>
            <w:r>
              <w:rPr>
                <w:rFonts w:hint="eastAsia" w:ascii="Times New Roman" w:hAnsi="Times New Roman" w:cs="Times New Roman"/>
                <w:color w:val="000000"/>
                <w:kern w:val="0"/>
                <w:sz w:val="21"/>
                <w:szCs w:val="21"/>
                <w:lang w:eastAsia="zh-CN"/>
              </w:rPr>
              <w:t>）</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群众生命财产安全保障</w:t>
            </w:r>
          </w:p>
        </w:tc>
        <w:tc>
          <w:tcPr>
            <w:tcW w:w="4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最大限度保障群众财产安全</w:t>
            </w:r>
          </w:p>
        </w:tc>
        <w:tc>
          <w:tcPr>
            <w:tcW w:w="49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有效保障群众财产安全效果显著</w:t>
            </w:r>
          </w:p>
        </w:tc>
        <w:tc>
          <w:tcPr>
            <w:tcW w:w="84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cs="Times New Roman"/>
                <w:color w:val="000000"/>
                <w:kern w:val="0"/>
                <w:sz w:val="21"/>
                <w:szCs w:val="21"/>
                <w:lang w:eastAsia="zh-CN"/>
              </w:rPr>
              <w:t>效果显著的满分，一般显著得</w:t>
            </w:r>
            <w:r>
              <w:rPr>
                <w:rFonts w:hint="eastAsia" w:ascii="Times New Roman" w:hAnsi="Times New Roman" w:cs="Times New Roman"/>
                <w:color w:val="000000"/>
                <w:kern w:val="0"/>
                <w:sz w:val="21"/>
                <w:szCs w:val="21"/>
                <w:lang w:val="en-US" w:eastAsia="zh-CN"/>
              </w:rPr>
              <w:t>5分，不显著得0分</w:t>
            </w:r>
          </w:p>
        </w:tc>
        <w:tc>
          <w:tcPr>
            <w:tcW w:w="3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15</w:t>
            </w:r>
          </w:p>
        </w:tc>
        <w:tc>
          <w:tcPr>
            <w:tcW w:w="71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529" w:type="pct"/>
            <w:vMerge w:val="continue"/>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35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54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w:t>
            </w:r>
            <w:r>
              <w:rPr>
                <w:rFonts w:hint="eastAsia" w:ascii="Times New Roman" w:hAnsi="Times New Roman" w:cs="Times New Roman"/>
                <w:color w:val="000000"/>
                <w:kern w:val="0"/>
                <w:sz w:val="21"/>
                <w:szCs w:val="21"/>
                <w:lang w:val="en-US" w:eastAsia="zh-CN"/>
              </w:rPr>
              <w:t>10分</w:t>
            </w:r>
            <w:r>
              <w:rPr>
                <w:rFonts w:hint="eastAsia" w:ascii="Times New Roman" w:hAnsi="Times New Roman" w:cs="Times New Roman"/>
                <w:color w:val="000000"/>
                <w:kern w:val="0"/>
                <w:sz w:val="21"/>
                <w:szCs w:val="21"/>
                <w:lang w:eastAsia="zh-CN"/>
              </w:rPr>
              <w:t>）</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生态系统环境改善</w:t>
            </w:r>
          </w:p>
        </w:tc>
        <w:tc>
          <w:tcPr>
            <w:tcW w:w="4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有效改善</w:t>
            </w:r>
          </w:p>
        </w:tc>
        <w:tc>
          <w:tcPr>
            <w:tcW w:w="49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有效改善</w:t>
            </w:r>
          </w:p>
        </w:tc>
        <w:tc>
          <w:tcPr>
            <w:tcW w:w="84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cs="Times New Roman"/>
                <w:color w:val="000000"/>
                <w:kern w:val="0"/>
                <w:sz w:val="21"/>
                <w:szCs w:val="21"/>
                <w:lang w:eastAsia="zh-CN"/>
              </w:rPr>
              <w:t>改善明显的满分，一般明显得</w:t>
            </w:r>
            <w:r>
              <w:rPr>
                <w:rFonts w:hint="eastAsia" w:ascii="Times New Roman" w:hAnsi="Times New Roman" w:cs="Times New Roman"/>
                <w:color w:val="000000"/>
                <w:kern w:val="0"/>
                <w:sz w:val="21"/>
                <w:szCs w:val="21"/>
                <w:lang w:val="en-US" w:eastAsia="zh-CN"/>
              </w:rPr>
              <w:t>5分，不明显得0分</w:t>
            </w:r>
          </w:p>
        </w:tc>
        <w:tc>
          <w:tcPr>
            <w:tcW w:w="3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71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jc w:val="center"/>
        </w:trPr>
        <w:tc>
          <w:tcPr>
            <w:tcW w:w="529"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352" w:type="pct"/>
            <w:vMerge w:val="continue"/>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c>
          <w:tcPr>
            <w:tcW w:w="547"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w:t>
            </w:r>
            <w:r>
              <w:rPr>
                <w:rFonts w:hint="eastAsia" w:ascii="Times New Roman" w:hAnsi="Times New Roman" w:cs="Times New Roman"/>
                <w:color w:val="000000"/>
                <w:kern w:val="0"/>
                <w:sz w:val="21"/>
                <w:szCs w:val="21"/>
                <w:lang w:val="en-US" w:eastAsia="zh-CN"/>
              </w:rPr>
              <w:t>10分</w:t>
            </w:r>
            <w:r>
              <w:rPr>
                <w:rFonts w:hint="eastAsia" w:ascii="Times New Roman" w:hAnsi="Times New Roman" w:cs="Times New Roman"/>
                <w:color w:val="000000"/>
                <w:kern w:val="0"/>
                <w:sz w:val="21"/>
                <w:szCs w:val="21"/>
                <w:lang w:eastAsia="zh-CN"/>
              </w:rPr>
              <w:t>）</w:t>
            </w:r>
          </w:p>
        </w:tc>
        <w:tc>
          <w:tcPr>
            <w:tcW w:w="65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长效保障机制</w:t>
            </w:r>
          </w:p>
        </w:tc>
        <w:tc>
          <w:tcPr>
            <w:tcW w:w="47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长期效益情况良好</w:t>
            </w:r>
          </w:p>
        </w:tc>
        <w:tc>
          <w:tcPr>
            <w:tcW w:w="490"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cs="Times New Roman"/>
                <w:color w:val="000000"/>
                <w:kern w:val="0"/>
                <w:sz w:val="21"/>
                <w:szCs w:val="21"/>
                <w:lang w:eastAsia="zh-CN"/>
              </w:rPr>
              <w:t>长期效益情况良好</w:t>
            </w:r>
          </w:p>
        </w:tc>
        <w:tc>
          <w:tcPr>
            <w:tcW w:w="84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eastAsia="zh-CN"/>
              </w:rPr>
              <w:t>情况良好得</w:t>
            </w:r>
            <w:r>
              <w:rPr>
                <w:rFonts w:hint="eastAsia" w:ascii="Times New Roman" w:hAnsi="Times New Roman" w:cs="Times New Roman"/>
                <w:color w:val="000000"/>
                <w:kern w:val="0"/>
                <w:sz w:val="21"/>
                <w:szCs w:val="21"/>
                <w:lang w:val="en-US" w:eastAsia="zh-CN"/>
              </w:rPr>
              <w:t>10分，一般良好得5分，不好得0分</w:t>
            </w:r>
          </w:p>
        </w:tc>
        <w:tc>
          <w:tcPr>
            <w:tcW w:w="3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w:t>
            </w:r>
          </w:p>
        </w:tc>
        <w:tc>
          <w:tcPr>
            <w:tcW w:w="71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3050" w:type="pct"/>
            <w:gridSpan w:val="6"/>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84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389"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cs="Times New Roman"/>
                <w:color w:val="000000"/>
                <w:kern w:val="0"/>
                <w:sz w:val="21"/>
                <w:szCs w:val="21"/>
                <w:lang w:val="en-US" w:eastAsia="zh-CN"/>
              </w:rPr>
              <w:t>100</w:t>
            </w:r>
          </w:p>
        </w:tc>
        <w:tc>
          <w:tcPr>
            <w:tcW w:w="711" w:type="pct"/>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imes New Roman" w:hAnsi="Times New Roman" w:eastAsia="仿宋_GB2312" w:cs="Times New Roman"/>
                <w:color w:val="000000"/>
                <w:kern w:val="0"/>
                <w:sz w:val="21"/>
                <w:szCs w:val="21"/>
              </w:rPr>
            </w:pPr>
          </w:p>
        </w:tc>
      </w:tr>
    </w:tbl>
    <w:p>
      <w:r>
        <w:rPr>
          <w:rFonts w:ascii="Times New Roman" w:hAnsi="Times New Roman" w:eastAsia="仿宋_GB2312" w:cs="Times New Roman"/>
          <w:kern w:val="0"/>
          <w:sz w:val="21"/>
          <w:szCs w:val="21"/>
        </w:rPr>
        <w:t>填表人：</w:t>
      </w:r>
      <w:r>
        <w:rPr>
          <w:rFonts w:hint="eastAsia" w:ascii="Times New Roman" w:hAnsi="Times New Roman" w:cs="Times New Roman"/>
          <w:kern w:val="0"/>
          <w:sz w:val="21"/>
          <w:szCs w:val="21"/>
          <w:lang w:val="en-US" w:eastAsia="zh-CN"/>
        </w:rPr>
        <w:t xml:space="preserve">           </w:t>
      </w:r>
      <w:r>
        <w:rPr>
          <w:rFonts w:ascii="Times New Roman" w:hAnsi="Times New Roman" w:eastAsia="仿宋_GB2312" w:cs="Times New Roman"/>
          <w:kern w:val="0"/>
          <w:sz w:val="21"/>
          <w:szCs w:val="21"/>
        </w:rPr>
        <w:t>填报日期：</w:t>
      </w:r>
      <w:r>
        <w:rPr>
          <w:rFonts w:hint="eastAsia" w:ascii="Times New Roman" w:hAnsi="Times New Roman" w:cs="Times New Roman"/>
          <w:kern w:val="0"/>
          <w:sz w:val="21"/>
          <w:szCs w:val="21"/>
          <w:lang w:val="en-US" w:eastAsia="zh-CN"/>
        </w:rPr>
        <w:t xml:space="preserve">           </w:t>
      </w:r>
      <w:r>
        <w:rPr>
          <w:rFonts w:ascii="Times New Roman" w:hAnsi="Times New Roman" w:eastAsia="仿宋_GB2312" w:cs="Times New Roman"/>
          <w:kern w:val="0"/>
          <w:sz w:val="21"/>
          <w:szCs w:val="21"/>
        </w:rPr>
        <w:t>联系电话</w:t>
      </w:r>
      <w:r>
        <w:rPr>
          <w:rFonts w:hint="eastAsia" w:ascii="Times New Roman" w:hAnsi="Times New Roman" w:cs="Times New Roman"/>
          <w:kern w:val="0"/>
          <w:sz w:val="21"/>
          <w:szCs w:val="21"/>
          <w:lang w:eastAsia="zh-CN"/>
        </w:rPr>
        <w:t>：</w:t>
      </w:r>
      <w:r>
        <w:rPr>
          <w:rFonts w:hint="eastAsia" w:ascii="Times New Roman" w:hAnsi="Times New Roman" w:cs="Times New Roman"/>
          <w:kern w:val="0"/>
          <w:sz w:val="21"/>
          <w:szCs w:val="21"/>
          <w:lang w:val="en-US" w:eastAsia="zh-CN"/>
        </w:rPr>
        <w:t xml:space="preserve">         </w:t>
      </w:r>
      <w:bookmarkStart w:id="0" w:name="_GoBack"/>
      <w:bookmarkEnd w:id="0"/>
      <w:r>
        <w:rPr>
          <w:rFonts w:hint="eastAsia" w:ascii="Times New Roman" w:hAnsi="Times New Roman" w:cs="Times New Roman"/>
          <w:kern w:val="0"/>
          <w:sz w:val="21"/>
          <w:szCs w:val="21"/>
          <w:lang w:val="en-US" w:eastAsia="zh-CN"/>
        </w:rPr>
        <w:t xml:space="preserve"> </w:t>
      </w: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val="en-US" w:eastAsia="zh-CN"/>
        </w:rPr>
        <w:t xml:space="preserve"> </w:t>
      </w:r>
      <w:r>
        <w:rPr>
          <w:rFonts w:ascii="Times New Roman" w:hAnsi="Times New Roman" w:eastAsia="仿宋_GB2312" w:cs="Times New Roman"/>
          <w:kern w:val="0"/>
          <w:sz w:val="21"/>
          <w:szCs w:val="21"/>
        </w:rPr>
        <w:t>单位负责人签字：</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oNotDisplayPageBoundaries w:val="true"/>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C3BA6"/>
    <w:rsid w:val="19FE6E0D"/>
    <w:rsid w:val="1BF877D0"/>
    <w:rsid w:val="243852B3"/>
    <w:rsid w:val="29842745"/>
    <w:rsid w:val="3AF7BAD6"/>
    <w:rsid w:val="3FFC0086"/>
    <w:rsid w:val="3FFF6AC2"/>
    <w:rsid w:val="4E894630"/>
    <w:rsid w:val="53760B86"/>
    <w:rsid w:val="594B4BC6"/>
    <w:rsid w:val="6D9E3355"/>
    <w:rsid w:val="6EF775B2"/>
    <w:rsid w:val="71D03E7C"/>
    <w:rsid w:val="7BC39F0D"/>
    <w:rsid w:val="9DEDC4BA"/>
    <w:rsid w:val="D5D7D8E0"/>
    <w:rsid w:val="F9FFA4E0"/>
    <w:rsid w:val="FFD96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265</Words>
  <Characters>294</Characters>
  <Lines>0</Lines>
  <Paragraphs>0</Paragraphs>
  <TotalTime>2</TotalTime>
  <ScaleCrop>false</ScaleCrop>
  <LinksUpToDate>false</LinksUpToDate>
  <CharactersWithSpaces>495</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2022-04-10T10:08:00Z</dcterms:created>
  <dc:creator>TYY</dc:creator>
  <cp:lastModifiedBy>kylin</cp:lastModifiedBy>
  <cp:lastPrinted>2022-10-25T02:19:00Z</cp:lastPrinted>
  <dcterms:modified xsi:type="dcterms:W3CDTF">2023-01-12T15:35:32Z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99A9F22623BF4753B149DD126F0FAC4C</vt:lpwstr>
  </property>
</Properties>
</file>