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仿宋_GB2312"/>
          <w:sz w:val="36"/>
          <w:szCs w:val="36"/>
        </w:rPr>
      </w:pPr>
    </w:p>
    <w:p>
      <w:pPr>
        <w:jc w:val="left"/>
        <w:rPr>
          <w:rFonts w:eastAsia="仿宋_GB2312"/>
          <w:sz w:val="36"/>
          <w:szCs w:val="36"/>
        </w:rPr>
      </w:pPr>
    </w:p>
    <w:p>
      <w:pPr>
        <w:adjustRightInd w:val="0"/>
        <w:snapToGrid w:val="0"/>
        <w:spacing w:line="480" w:lineRule="auto"/>
        <w:jc w:val="center"/>
        <w:rPr>
          <w:rFonts w:eastAsia="黑体"/>
          <w:b/>
          <w:bCs/>
          <w:spacing w:val="-10"/>
          <w:sz w:val="44"/>
          <w:szCs w:val="44"/>
        </w:rPr>
      </w:pPr>
      <w:r>
        <w:rPr>
          <w:rFonts w:eastAsia="黑体"/>
          <w:b/>
          <w:bCs/>
          <w:spacing w:val="-10"/>
          <w:sz w:val="44"/>
          <w:szCs w:val="44"/>
        </w:rPr>
        <w:t>湖南省桃江县浮邱山矿区沙田湾花岗岩矿</w:t>
      </w:r>
    </w:p>
    <w:p>
      <w:pPr>
        <w:adjustRightInd w:val="0"/>
        <w:snapToGrid w:val="0"/>
        <w:spacing w:line="480" w:lineRule="auto"/>
        <w:jc w:val="center"/>
        <w:rPr>
          <w:rFonts w:eastAsia="黑体"/>
          <w:b/>
          <w:bCs/>
          <w:spacing w:val="-10"/>
          <w:sz w:val="44"/>
          <w:szCs w:val="44"/>
        </w:rPr>
      </w:pPr>
      <w:r>
        <w:rPr>
          <w:rFonts w:eastAsia="黑体"/>
          <w:b/>
          <w:bCs/>
          <w:spacing w:val="-10"/>
          <w:sz w:val="44"/>
          <w:szCs w:val="44"/>
        </w:rPr>
        <w:t>矿山生态保护修复方案</w:t>
      </w: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jc w:val="left"/>
        <w:rPr>
          <w:rFonts w:eastAsia="黑体"/>
          <w:b/>
          <w:sz w:val="28"/>
          <w:szCs w:val="28"/>
        </w:rPr>
      </w:pPr>
    </w:p>
    <w:p>
      <w:pPr>
        <w:spacing w:line="360" w:lineRule="auto"/>
        <w:ind w:firstLine="1405" w:firstLineChars="500"/>
        <w:rPr>
          <w:rFonts w:eastAsia="黑体"/>
          <w:b/>
          <w:sz w:val="28"/>
          <w:szCs w:val="28"/>
        </w:rPr>
      </w:pPr>
    </w:p>
    <w:p>
      <w:pPr>
        <w:spacing w:line="360" w:lineRule="auto"/>
        <w:ind w:firstLine="1405" w:firstLineChars="500"/>
        <w:rPr>
          <w:rFonts w:eastAsia="黑体"/>
          <w:b/>
          <w:sz w:val="28"/>
          <w:szCs w:val="28"/>
        </w:rPr>
      </w:pPr>
    </w:p>
    <w:p>
      <w:pPr>
        <w:spacing w:line="360" w:lineRule="auto"/>
        <w:ind w:firstLine="1405" w:firstLineChars="500"/>
        <w:rPr>
          <w:rFonts w:eastAsia="黑体"/>
          <w:b/>
          <w:sz w:val="28"/>
          <w:szCs w:val="28"/>
        </w:rPr>
      </w:pPr>
    </w:p>
    <w:p>
      <w:pPr>
        <w:spacing w:line="360" w:lineRule="auto"/>
        <w:ind w:firstLine="1405" w:firstLineChars="500"/>
        <w:rPr>
          <w:rFonts w:eastAsia="黑体"/>
          <w:b/>
          <w:sz w:val="28"/>
          <w:szCs w:val="28"/>
        </w:rPr>
      </w:pPr>
    </w:p>
    <w:p>
      <w:pPr>
        <w:tabs>
          <w:tab w:val="left" w:pos="6690"/>
        </w:tabs>
        <w:spacing w:line="640" w:lineRule="exact"/>
        <w:jc w:val="center"/>
        <w:rPr>
          <w:rFonts w:eastAsia="仿宋_GB2312"/>
          <w:kern w:val="0"/>
          <w:sz w:val="32"/>
          <w:szCs w:val="32"/>
        </w:rPr>
      </w:pPr>
      <w:r>
        <w:rPr>
          <w:rFonts w:eastAsia="黑体"/>
          <w:b/>
          <w:sz w:val="32"/>
          <w:szCs w:val="32"/>
        </w:rPr>
        <w:t>桃江县金桥石业有限公司</w:t>
      </w:r>
    </w:p>
    <w:p>
      <w:pPr>
        <w:tabs>
          <w:tab w:val="left" w:pos="6690"/>
        </w:tabs>
        <w:spacing w:line="640" w:lineRule="exact"/>
        <w:jc w:val="center"/>
        <w:rPr>
          <w:rFonts w:eastAsia="仿宋_GB2312"/>
          <w:b/>
          <w:sz w:val="32"/>
          <w:szCs w:val="32"/>
        </w:rPr>
        <w:sectPr>
          <w:headerReference r:id="rId3" w:type="first"/>
          <w:footerReference r:id="rId4" w:type="default"/>
          <w:footerReference r:id="rId5" w:type="even"/>
          <w:pgSz w:w="11906" w:h="16838"/>
          <w:pgMar w:top="1440" w:right="1440" w:bottom="1440" w:left="1440" w:header="851" w:footer="992" w:gutter="0"/>
          <w:pgNumType w:start="1"/>
          <w:cols w:space="720" w:num="1"/>
          <w:docGrid w:type="lines" w:linePitch="312" w:charSpace="0"/>
        </w:sectPr>
      </w:pPr>
      <w:r>
        <w:rPr>
          <w:rFonts w:ascii="黑体" w:hAnsi="黑体" w:eastAsia="黑体"/>
          <w:b/>
          <w:sz w:val="32"/>
          <w:szCs w:val="32"/>
        </w:rPr>
        <w:t>二</w:t>
      </w:r>
      <w:r>
        <w:rPr>
          <w:rFonts w:ascii="黑体" w:hAnsi="黑体" w:eastAsia="黑体"/>
          <w:sz w:val="32"/>
          <w:szCs w:val="32"/>
        </w:rPr>
        <w:t>○二三</w:t>
      </w:r>
      <w:r>
        <w:rPr>
          <w:rFonts w:ascii="黑体" w:hAnsi="黑体" w:eastAsia="黑体"/>
          <w:b/>
          <w:sz w:val="32"/>
          <w:szCs w:val="32"/>
        </w:rPr>
        <w:t>年二</w:t>
      </w:r>
      <w:r>
        <w:rPr>
          <w:rFonts w:eastAsia="黑体"/>
          <w:b/>
          <w:sz w:val="32"/>
          <w:szCs w:val="32"/>
        </w:rPr>
        <w:t>月</w:t>
      </w:r>
    </w:p>
    <w:p>
      <w:pPr>
        <w:ind w:firstLine="990" w:firstLineChars="300"/>
        <w:jc w:val="left"/>
        <w:rPr>
          <w:spacing w:val="5"/>
          <w:sz w:val="32"/>
          <w:szCs w:val="32"/>
          <w:lang w:val="zh-CN"/>
        </w:rPr>
      </w:pPr>
    </w:p>
    <w:p>
      <w:pPr>
        <w:spacing w:line="360" w:lineRule="auto"/>
        <w:jc w:val="center"/>
        <w:rPr>
          <w:spacing w:val="-10"/>
          <w:sz w:val="44"/>
          <w:szCs w:val="44"/>
        </w:rPr>
      </w:pPr>
    </w:p>
    <w:p>
      <w:pPr>
        <w:adjustRightInd w:val="0"/>
        <w:snapToGrid w:val="0"/>
        <w:spacing w:line="480" w:lineRule="auto"/>
        <w:jc w:val="center"/>
        <w:rPr>
          <w:spacing w:val="-10"/>
          <w:sz w:val="44"/>
          <w:szCs w:val="44"/>
        </w:rPr>
      </w:pPr>
      <w:r>
        <w:rPr>
          <w:spacing w:val="-10"/>
          <w:sz w:val="44"/>
          <w:szCs w:val="44"/>
        </w:rPr>
        <w:t>湖南省桃江县浮邱山矿区沙田湾花岗岩矿</w:t>
      </w:r>
    </w:p>
    <w:p>
      <w:pPr>
        <w:adjustRightInd w:val="0"/>
        <w:snapToGrid w:val="0"/>
        <w:spacing w:line="480" w:lineRule="auto"/>
        <w:jc w:val="center"/>
        <w:rPr>
          <w:spacing w:val="-10"/>
          <w:sz w:val="44"/>
          <w:szCs w:val="44"/>
        </w:rPr>
      </w:pPr>
      <w:r>
        <w:rPr>
          <w:spacing w:val="-10"/>
          <w:sz w:val="44"/>
          <w:szCs w:val="44"/>
        </w:rPr>
        <w:t>矿山生态保护修复方案</w:t>
      </w:r>
    </w:p>
    <w:p>
      <w:pPr>
        <w:ind w:firstLine="640"/>
        <w:rPr>
          <w:sz w:val="32"/>
          <w:szCs w:val="32"/>
        </w:rPr>
      </w:pPr>
    </w:p>
    <w:p>
      <w:pPr>
        <w:ind w:firstLine="640"/>
        <w:rPr>
          <w:sz w:val="32"/>
          <w:szCs w:val="32"/>
        </w:rPr>
      </w:pPr>
    </w:p>
    <w:p>
      <w:pPr>
        <w:pStyle w:val="2"/>
      </w:pPr>
    </w:p>
    <w:p>
      <w:pPr>
        <w:ind w:firstLine="640"/>
        <w:rPr>
          <w:sz w:val="32"/>
          <w:szCs w:val="32"/>
        </w:rPr>
      </w:pPr>
    </w:p>
    <w:tbl>
      <w:tblPr>
        <w:tblStyle w:val="35"/>
        <w:tblW w:w="76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6"/>
        <w:gridCol w:w="5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16" w:type="dxa"/>
          </w:tcPr>
          <w:p>
            <w:pPr>
              <w:jc w:val="center"/>
              <w:rPr>
                <w:kern w:val="0"/>
                <w:sz w:val="32"/>
                <w:szCs w:val="32"/>
              </w:rPr>
            </w:pPr>
            <w:r>
              <w:rPr>
                <w:kern w:val="0"/>
                <w:sz w:val="32"/>
                <w:szCs w:val="32"/>
              </w:rPr>
              <w:t>编制单位：</w:t>
            </w:r>
          </w:p>
        </w:tc>
        <w:tc>
          <w:tcPr>
            <w:tcW w:w="5812" w:type="dxa"/>
          </w:tcPr>
          <w:p>
            <w:pPr>
              <w:rPr>
                <w:kern w:val="0"/>
                <w:sz w:val="32"/>
                <w:szCs w:val="32"/>
              </w:rPr>
            </w:pPr>
            <w:r>
              <w:rPr>
                <w:kern w:val="0"/>
                <w:sz w:val="32"/>
                <w:szCs w:val="32"/>
              </w:rPr>
              <w:t>湖南省城市地质调查监测所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16" w:type="dxa"/>
          </w:tcPr>
          <w:p>
            <w:pPr>
              <w:jc w:val="center"/>
              <w:rPr>
                <w:kern w:val="0"/>
                <w:sz w:val="32"/>
                <w:szCs w:val="32"/>
              </w:rPr>
            </w:pPr>
            <w:r>
              <w:rPr>
                <w:kern w:val="0"/>
                <w:sz w:val="32"/>
                <w:szCs w:val="32"/>
              </w:rPr>
              <w:t>报告主编：</w:t>
            </w:r>
          </w:p>
        </w:tc>
        <w:tc>
          <w:tcPr>
            <w:tcW w:w="5812" w:type="dxa"/>
          </w:tcPr>
          <w:p>
            <w:pPr>
              <w:rPr>
                <w:kern w:val="0"/>
                <w:sz w:val="32"/>
                <w:szCs w:val="32"/>
              </w:rPr>
            </w:pPr>
            <w:r>
              <w:rPr>
                <w:kern w:val="0"/>
                <w:sz w:val="32"/>
                <w:szCs w:val="32"/>
              </w:rPr>
              <w:t>林  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16" w:type="dxa"/>
          </w:tcPr>
          <w:p>
            <w:pPr>
              <w:jc w:val="center"/>
              <w:rPr>
                <w:kern w:val="0"/>
                <w:sz w:val="32"/>
                <w:szCs w:val="32"/>
              </w:rPr>
            </w:pPr>
            <w:r>
              <w:rPr>
                <w:kern w:val="0"/>
                <w:sz w:val="32"/>
                <w:szCs w:val="32"/>
              </w:rPr>
              <w:t>参与人员：</w:t>
            </w:r>
          </w:p>
        </w:tc>
        <w:tc>
          <w:tcPr>
            <w:tcW w:w="5812" w:type="dxa"/>
          </w:tcPr>
          <w:p>
            <w:pPr>
              <w:rPr>
                <w:kern w:val="0"/>
                <w:sz w:val="32"/>
                <w:szCs w:val="32"/>
              </w:rPr>
            </w:pPr>
            <w:r>
              <w:rPr>
                <w:kern w:val="0"/>
                <w:sz w:val="32"/>
                <w:szCs w:val="32"/>
              </w:rPr>
              <w:t>代仁凤  周考先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16" w:type="dxa"/>
          </w:tcPr>
          <w:p>
            <w:pPr>
              <w:jc w:val="center"/>
              <w:rPr>
                <w:kern w:val="0"/>
                <w:sz w:val="32"/>
                <w:szCs w:val="32"/>
              </w:rPr>
            </w:pPr>
            <w:r>
              <w:rPr>
                <w:spacing w:val="320"/>
                <w:kern w:val="0"/>
                <w:sz w:val="32"/>
                <w:szCs w:val="32"/>
                <w:fitText w:val="1280" w:id="-1402814208"/>
              </w:rPr>
              <w:t>审</w:t>
            </w:r>
            <w:r>
              <w:rPr>
                <w:spacing w:val="0"/>
                <w:kern w:val="0"/>
                <w:sz w:val="32"/>
                <w:szCs w:val="32"/>
                <w:fitText w:val="1280" w:id="-1402814208"/>
              </w:rPr>
              <w:t>核</w:t>
            </w:r>
            <w:r>
              <w:rPr>
                <w:kern w:val="0"/>
                <w:sz w:val="32"/>
                <w:szCs w:val="32"/>
              </w:rPr>
              <w:t>：</w:t>
            </w:r>
          </w:p>
        </w:tc>
        <w:tc>
          <w:tcPr>
            <w:tcW w:w="5812" w:type="dxa"/>
          </w:tcPr>
          <w:p>
            <w:pPr>
              <w:rPr>
                <w:kern w:val="0"/>
                <w:sz w:val="32"/>
                <w:szCs w:val="32"/>
              </w:rPr>
            </w:pPr>
            <w:r>
              <w:rPr>
                <w:kern w:val="0"/>
                <w:sz w:val="32"/>
                <w:szCs w:val="32"/>
              </w:rPr>
              <w:t>熊建勋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16" w:type="dxa"/>
          </w:tcPr>
          <w:p>
            <w:pPr>
              <w:jc w:val="center"/>
              <w:rPr>
                <w:kern w:val="0"/>
                <w:sz w:val="32"/>
                <w:szCs w:val="32"/>
              </w:rPr>
            </w:pPr>
            <w:r>
              <w:rPr>
                <w:kern w:val="0"/>
                <w:sz w:val="32"/>
                <w:szCs w:val="32"/>
              </w:rPr>
              <w:t>总工程师：</w:t>
            </w:r>
          </w:p>
        </w:tc>
        <w:tc>
          <w:tcPr>
            <w:tcW w:w="5812" w:type="dxa"/>
          </w:tcPr>
          <w:p>
            <w:pPr>
              <w:rPr>
                <w:kern w:val="0"/>
                <w:sz w:val="32"/>
                <w:szCs w:val="32"/>
              </w:rPr>
            </w:pPr>
            <w:r>
              <w:rPr>
                <w:kern w:val="0"/>
                <w:sz w:val="32"/>
                <w:szCs w:val="32"/>
              </w:rPr>
              <w:t>陈建成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816" w:type="dxa"/>
          </w:tcPr>
          <w:p>
            <w:pPr>
              <w:jc w:val="center"/>
              <w:rPr>
                <w:kern w:val="0"/>
                <w:sz w:val="32"/>
                <w:szCs w:val="32"/>
              </w:rPr>
            </w:pPr>
            <w:r>
              <w:rPr>
                <w:kern w:val="0"/>
                <w:sz w:val="32"/>
                <w:szCs w:val="32"/>
              </w:rPr>
              <w:t>单位负责：</w:t>
            </w:r>
          </w:p>
        </w:tc>
        <w:tc>
          <w:tcPr>
            <w:tcW w:w="5812" w:type="dxa"/>
          </w:tcPr>
          <w:p>
            <w:pPr>
              <w:rPr>
                <w:kern w:val="0"/>
                <w:sz w:val="32"/>
                <w:szCs w:val="32"/>
              </w:rPr>
            </w:pPr>
            <w:r>
              <w:rPr>
                <w:kern w:val="0"/>
                <w:sz w:val="32"/>
                <w:szCs w:val="32"/>
              </w:rPr>
              <w:t>曾风山</w:t>
            </w:r>
          </w:p>
        </w:tc>
      </w:tr>
    </w:tbl>
    <w:p>
      <w:pPr>
        <w:spacing w:line="360" w:lineRule="auto"/>
        <w:jc w:val="center"/>
        <w:rPr>
          <w:sz w:val="32"/>
          <w:szCs w:val="32"/>
        </w:rPr>
      </w:pPr>
    </w:p>
    <w:p>
      <w:pPr>
        <w:spacing w:line="360" w:lineRule="auto"/>
        <w:jc w:val="center"/>
        <w:rPr>
          <w:sz w:val="32"/>
          <w:szCs w:val="32"/>
        </w:rPr>
      </w:pPr>
    </w:p>
    <w:p>
      <w:pPr>
        <w:pStyle w:val="2"/>
      </w:pPr>
    </w:p>
    <w:p>
      <w:pPr>
        <w:tabs>
          <w:tab w:val="left" w:pos="6690"/>
        </w:tabs>
        <w:spacing w:line="640" w:lineRule="exact"/>
        <w:ind w:firstLine="1280" w:firstLineChars="400"/>
        <w:rPr>
          <w:kern w:val="0"/>
          <w:sz w:val="32"/>
          <w:szCs w:val="32"/>
        </w:rPr>
      </w:pPr>
      <w:r>
        <w:rPr>
          <w:sz w:val="32"/>
          <w:szCs w:val="32"/>
        </w:rPr>
        <w:t>提交单位：</w:t>
      </w:r>
      <w:r>
        <w:rPr>
          <w:kern w:val="0"/>
          <w:sz w:val="32"/>
          <w:szCs w:val="32"/>
        </w:rPr>
        <w:t>桃江县金桥石业有限公司</w:t>
      </w:r>
    </w:p>
    <w:p>
      <w:pPr>
        <w:autoSpaceDE w:val="0"/>
        <w:autoSpaceDN w:val="0"/>
        <w:adjustRightInd w:val="0"/>
        <w:spacing w:line="360" w:lineRule="auto"/>
        <w:ind w:firstLine="1280" w:firstLineChars="400"/>
        <w:rPr>
          <w:sz w:val="32"/>
          <w:szCs w:val="32"/>
        </w:rPr>
      </w:pPr>
      <w:r>
        <w:rPr>
          <w:sz w:val="32"/>
          <w:szCs w:val="32"/>
        </w:rPr>
        <w:t>提交日期：二〇二三年二月</w:t>
      </w:r>
    </w:p>
    <w:p>
      <w:pPr>
        <w:sectPr>
          <w:footerReference r:id="rId6" w:type="default"/>
          <w:pgSz w:w="11906" w:h="16838"/>
          <w:pgMar w:top="1440" w:right="1440" w:bottom="1440" w:left="1440" w:header="851" w:footer="992" w:gutter="0"/>
          <w:pgNumType w:start="1"/>
          <w:cols w:space="720" w:num="1"/>
          <w:docGrid w:type="lines" w:linePitch="312" w:charSpace="0"/>
        </w:sectPr>
      </w:pPr>
    </w:p>
    <w:p>
      <w:pPr>
        <w:pStyle w:val="82"/>
        <w:spacing w:afterLines="50" w:line="240" w:lineRule="auto"/>
        <w:ind w:firstLine="560"/>
        <w:jc w:val="center"/>
        <w:rPr>
          <w:rFonts w:ascii="Times New Roman" w:hAnsi="Times New Roman" w:eastAsia="宋体" w:cs="Times New Roman"/>
          <w:sz w:val="28"/>
          <w:szCs w:val="28"/>
        </w:rPr>
      </w:pPr>
      <w:r>
        <w:rPr>
          <w:rFonts w:ascii="Times New Roman" w:hAnsi="Times New Roman" w:eastAsia="宋体" w:cs="Times New Roman"/>
          <w:sz w:val="28"/>
          <w:szCs w:val="28"/>
        </w:rPr>
        <w:t>矿山生态保护修复方案摘要表</w:t>
      </w:r>
    </w:p>
    <w:tbl>
      <w:tblPr>
        <w:tblStyle w:val="34"/>
        <w:tblW w:w="10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9"/>
        <w:gridCol w:w="1134"/>
        <w:gridCol w:w="1276"/>
        <w:gridCol w:w="992"/>
        <w:gridCol w:w="1276"/>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pStyle w:val="8"/>
              <w:ind w:left="0"/>
              <w:jc w:val="center"/>
              <w:rPr>
                <w:rFonts w:ascii="Times New Roman" w:hAnsi="Times New Roman"/>
                <w:sz w:val="20"/>
                <w:szCs w:val="20"/>
              </w:rPr>
            </w:pPr>
            <w:r>
              <w:rPr>
                <w:rFonts w:ascii="Times New Roman" w:hAnsi="Times New Roman"/>
                <w:sz w:val="20"/>
                <w:szCs w:val="20"/>
              </w:rPr>
              <w:t>矿山名称</w:t>
            </w:r>
          </w:p>
        </w:tc>
        <w:tc>
          <w:tcPr>
            <w:tcW w:w="9219" w:type="dxa"/>
            <w:gridSpan w:val="7"/>
            <w:tcBorders>
              <w:top w:val="single" w:color="auto" w:sz="4" w:space="0"/>
              <w:left w:val="nil"/>
              <w:bottom w:val="single" w:color="auto" w:sz="4" w:space="0"/>
              <w:right w:val="single" w:color="auto" w:sz="4" w:space="0"/>
            </w:tcBorders>
            <w:vAlign w:val="center"/>
          </w:tcPr>
          <w:p>
            <w:pPr>
              <w:autoSpaceDE w:val="0"/>
              <w:autoSpaceDN w:val="0"/>
              <w:adjustRightInd w:val="0"/>
              <w:jc w:val="center"/>
              <w:rPr>
                <w:sz w:val="24"/>
              </w:rPr>
            </w:pPr>
            <w:r>
              <w:rPr>
                <w:szCs w:val="21"/>
              </w:rPr>
              <w:t>桃江县金桥石业有限公司沙田湾花岗岩矿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pStyle w:val="8"/>
              <w:adjustRightInd w:val="0"/>
              <w:snapToGrid w:val="0"/>
              <w:ind w:left="0"/>
              <w:jc w:val="center"/>
              <w:rPr>
                <w:rFonts w:ascii="Times New Roman" w:hAnsi="Times New Roman"/>
                <w:sz w:val="20"/>
                <w:szCs w:val="20"/>
              </w:rPr>
            </w:pPr>
            <w:r>
              <w:rPr>
                <w:rFonts w:ascii="Times New Roman" w:hAnsi="Times New Roman"/>
                <w:sz w:val="20"/>
                <w:szCs w:val="20"/>
              </w:rPr>
              <w:t>开采</w:t>
            </w:r>
          </w:p>
          <w:p>
            <w:pPr>
              <w:pStyle w:val="8"/>
              <w:adjustRightInd w:val="0"/>
              <w:snapToGrid w:val="0"/>
              <w:ind w:left="0"/>
              <w:jc w:val="center"/>
              <w:rPr>
                <w:rFonts w:ascii="Times New Roman" w:hAnsi="Times New Roman"/>
                <w:sz w:val="20"/>
                <w:szCs w:val="20"/>
              </w:rPr>
            </w:pPr>
            <w:r>
              <w:rPr>
                <w:rFonts w:ascii="Times New Roman" w:hAnsi="Times New Roman"/>
                <w:sz w:val="20"/>
                <w:szCs w:val="20"/>
              </w:rPr>
              <w:t>矿种</w:t>
            </w:r>
          </w:p>
        </w:tc>
        <w:tc>
          <w:tcPr>
            <w:tcW w:w="113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szCs w:val="21"/>
              </w:rPr>
            </w:pPr>
            <w:r>
              <w:rPr>
                <w:szCs w:val="21"/>
              </w:rPr>
              <w:t>花岗岩</w:t>
            </w:r>
          </w:p>
        </w:tc>
        <w:tc>
          <w:tcPr>
            <w:tcW w:w="1134" w:type="dxa"/>
            <w:tcBorders>
              <w:top w:val="single" w:color="auto" w:sz="4" w:space="0"/>
              <w:left w:val="nil"/>
              <w:bottom w:val="single" w:color="auto" w:sz="4" w:space="0"/>
              <w:right w:val="single" w:color="auto" w:sz="4" w:space="0"/>
            </w:tcBorders>
            <w:vAlign w:val="center"/>
          </w:tcPr>
          <w:p>
            <w:pPr>
              <w:pStyle w:val="8"/>
              <w:adjustRightInd w:val="0"/>
              <w:snapToGrid w:val="0"/>
              <w:ind w:left="0"/>
              <w:jc w:val="center"/>
              <w:rPr>
                <w:rFonts w:ascii="Times New Roman" w:hAnsi="Times New Roman"/>
                <w:sz w:val="20"/>
                <w:szCs w:val="20"/>
              </w:rPr>
            </w:pPr>
            <w:r>
              <w:rPr>
                <w:rFonts w:ascii="Times New Roman" w:hAnsi="Times New Roman"/>
                <w:sz w:val="20"/>
                <w:szCs w:val="20"/>
              </w:rPr>
              <w:t>开采</w:t>
            </w:r>
          </w:p>
          <w:p>
            <w:pPr>
              <w:pStyle w:val="8"/>
              <w:adjustRightInd w:val="0"/>
              <w:snapToGrid w:val="0"/>
              <w:ind w:left="0"/>
              <w:jc w:val="center"/>
              <w:rPr>
                <w:rFonts w:ascii="Times New Roman" w:hAnsi="Times New Roman"/>
              </w:rPr>
            </w:pPr>
            <w:r>
              <w:rPr>
                <w:rFonts w:ascii="Times New Roman" w:hAnsi="Times New Roman"/>
                <w:sz w:val="20"/>
                <w:szCs w:val="20"/>
              </w:rPr>
              <w:t>方式</w:t>
            </w:r>
          </w:p>
        </w:tc>
        <w:tc>
          <w:tcPr>
            <w:tcW w:w="127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szCs w:val="21"/>
              </w:rPr>
            </w:pPr>
            <w:r>
              <w:rPr>
                <w:szCs w:val="21"/>
              </w:rPr>
              <w:t>露天开采</w:t>
            </w:r>
          </w:p>
        </w:tc>
        <w:tc>
          <w:tcPr>
            <w:tcW w:w="99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szCs w:val="21"/>
              </w:rPr>
            </w:pPr>
            <w:r>
              <w:rPr>
                <w:szCs w:val="21"/>
              </w:rPr>
              <w:t>开采</w:t>
            </w:r>
          </w:p>
          <w:p>
            <w:pPr>
              <w:widowControl/>
              <w:adjustRightInd w:val="0"/>
              <w:snapToGrid w:val="0"/>
              <w:jc w:val="center"/>
            </w:pPr>
            <w:r>
              <w:rPr>
                <w:szCs w:val="21"/>
              </w:rPr>
              <w:t>规模</w:t>
            </w:r>
          </w:p>
        </w:tc>
        <w:tc>
          <w:tcPr>
            <w:tcW w:w="127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szCs w:val="21"/>
              </w:rPr>
            </w:pPr>
            <w:r>
              <w:rPr>
                <w:rFonts w:hint="eastAsia"/>
                <w:szCs w:val="21"/>
              </w:rPr>
              <w:t>****</w:t>
            </w:r>
            <w:r>
              <w:rPr>
                <w:szCs w:val="21"/>
              </w:rPr>
              <w:t>万立方米/年</w:t>
            </w:r>
          </w:p>
        </w:tc>
        <w:tc>
          <w:tcPr>
            <w:tcW w:w="155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szCs w:val="21"/>
              </w:rPr>
            </w:pPr>
            <w:r>
              <w:rPr>
                <w:szCs w:val="21"/>
              </w:rPr>
              <w:t>采矿许可证</w:t>
            </w:r>
          </w:p>
          <w:p>
            <w:pPr>
              <w:widowControl/>
              <w:adjustRightInd w:val="0"/>
              <w:snapToGrid w:val="0"/>
              <w:jc w:val="center"/>
            </w:pPr>
            <w:r>
              <w:rPr>
                <w:szCs w:val="21"/>
              </w:rPr>
              <w:t>期限</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pPr>
            <w:r>
              <w:rPr>
                <w:sz w:val="18"/>
              </w:rPr>
              <w:t>自2019年6月17日至2023年6月3日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274" w:type="dxa"/>
            <w:gridSpan w:val="2"/>
            <w:tcBorders>
              <w:top w:val="single" w:color="auto" w:sz="4" w:space="0"/>
              <w:left w:val="single" w:color="auto" w:sz="4" w:space="0"/>
              <w:bottom w:val="single" w:color="auto" w:sz="4" w:space="0"/>
              <w:right w:val="single" w:color="auto" w:sz="4" w:space="0"/>
            </w:tcBorders>
            <w:vAlign w:val="center"/>
          </w:tcPr>
          <w:p>
            <w:pPr>
              <w:pStyle w:val="8"/>
              <w:ind w:left="0"/>
              <w:jc w:val="center"/>
              <w:rPr>
                <w:rFonts w:ascii="Times New Roman" w:hAnsi="Times New Roman"/>
                <w:sz w:val="22"/>
                <w:szCs w:val="22"/>
              </w:rPr>
            </w:pPr>
            <w:r>
              <w:rPr>
                <w:rFonts w:ascii="Times New Roman" w:hAnsi="Times New Roman"/>
                <w:sz w:val="22"/>
                <w:szCs w:val="22"/>
              </w:rPr>
              <w:t>生态保护修复</w:t>
            </w:r>
          </w:p>
          <w:p>
            <w:pPr>
              <w:pStyle w:val="8"/>
              <w:ind w:left="0" w:firstLine="440" w:firstLineChars="200"/>
              <w:rPr>
                <w:rFonts w:ascii="Times New Roman" w:hAnsi="Times New Roman"/>
                <w:sz w:val="22"/>
                <w:szCs w:val="22"/>
              </w:rPr>
            </w:pPr>
            <w:r>
              <w:rPr>
                <w:rFonts w:ascii="Times New Roman" w:hAnsi="Times New Roman"/>
                <w:sz w:val="22"/>
                <w:szCs w:val="22"/>
              </w:rPr>
              <w:t>现状及效果</w:t>
            </w:r>
          </w:p>
        </w:tc>
        <w:tc>
          <w:tcPr>
            <w:tcW w:w="8080" w:type="dxa"/>
            <w:gridSpan w:val="6"/>
            <w:tcBorders>
              <w:top w:val="single" w:color="auto" w:sz="4" w:space="0"/>
              <w:left w:val="nil"/>
              <w:bottom w:val="single" w:color="auto" w:sz="4" w:space="0"/>
              <w:right w:val="single" w:color="auto" w:sz="4" w:space="0"/>
            </w:tcBorders>
            <w:vAlign w:val="center"/>
          </w:tcPr>
          <w:p>
            <w:pPr>
              <w:adjustRightInd w:val="0"/>
              <w:snapToGrid w:val="0"/>
              <w:spacing w:line="360" w:lineRule="auto"/>
              <w:ind w:firstLine="420" w:firstLineChars="200"/>
            </w:pPr>
            <w:r>
              <w:t>矿山投入资金</w:t>
            </w:r>
            <w:r>
              <w:rPr>
                <w:rFonts w:hint="eastAsia"/>
              </w:rPr>
              <w:t>***</w:t>
            </w:r>
            <w:r>
              <w:t>万元，进行了生态保护修复和绿色矿山建设。水资源水生态恢复工程修建截排水沟、沉淀池；管理办公区进行了绿化美化；开展了地表水水环境监测和地质灾害监测；另对进矿道路进行了硬化，安装了洗车平台配套废水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274" w:type="dxa"/>
            <w:gridSpan w:val="2"/>
            <w:tcBorders>
              <w:top w:val="single" w:color="auto" w:sz="4" w:space="0"/>
              <w:left w:val="single" w:color="auto" w:sz="4" w:space="0"/>
              <w:bottom w:val="single" w:color="auto" w:sz="4" w:space="0"/>
              <w:right w:val="single" w:color="auto" w:sz="4" w:space="0"/>
            </w:tcBorders>
            <w:vAlign w:val="center"/>
          </w:tcPr>
          <w:p>
            <w:pPr>
              <w:pStyle w:val="8"/>
              <w:ind w:left="0" w:firstLine="220" w:firstLineChars="100"/>
              <w:jc w:val="center"/>
              <w:rPr>
                <w:rFonts w:ascii="Times New Roman" w:hAnsi="Times New Roman"/>
                <w:sz w:val="22"/>
                <w:szCs w:val="22"/>
              </w:rPr>
            </w:pPr>
            <w:r>
              <w:rPr>
                <w:rFonts w:ascii="Times New Roman" w:hAnsi="Times New Roman"/>
                <w:sz w:val="22"/>
                <w:szCs w:val="22"/>
              </w:rPr>
              <w:t>矿山生态问题</w:t>
            </w:r>
          </w:p>
          <w:p>
            <w:pPr>
              <w:pStyle w:val="8"/>
              <w:ind w:left="0" w:firstLine="220" w:firstLineChars="100"/>
              <w:jc w:val="center"/>
              <w:rPr>
                <w:rFonts w:ascii="Times New Roman" w:hAnsi="Times New Roman"/>
                <w:sz w:val="22"/>
                <w:szCs w:val="22"/>
              </w:rPr>
            </w:pPr>
            <w:r>
              <w:rPr>
                <w:rFonts w:ascii="Times New Roman" w:hAnsi="Times New Roman"/>
                <w:sz w:val="22"/>
                <w:szCs w:val="22"/>
              </w:rPr>
              <w:t>识别和诊断</w:t>
            </w:r>
          </w:p>
        </w:tc>
        <w:tc>
          <w:tcPr>
            <w:tcW w:w="8080" w:type="dxa"/>
            <w:gridSpan w:val="6"/>
            <w:tcBorders>
              <w:top w:val="single" w:color="auto" w:sz="4" w:space="0"/>
              <w:left w:val="nil"/>
              <w:bottom w:val="single" w:color="auto" w:sz="4" w:space="0"/>
              <w:right w:val="single" w:color="auto" w:sz="4" w:space="0"/>
            </w:tcBorders>
            <w:vAlign w:val="center"/>
          </w:tcPr>
          <w:p>
            <w:pPr>
              <w:adjustRightInd w:val="0"/>
              <w:snapToGrid w:val="0"/>
              <w:spacing w:line="336" w:lineRule="auto"/>
              <w:ind w:firstLine="420" w:firstLineChars="200"/>
              <w:rPr>
                <w:kern w:val="0"/>
              </w:rPr>
            </w:pPr>
            <w:r>
              <w:rPr>
                <w:kern w:val="0"/>
              </w:rPr>
              <w:t>1、地形地貌景观破坏</w:t>
            </w:r>
          </w:p>
          <w:p>
            <w:pPr>
              <w:adjustRightInd w:val="0"/>
              <w:snapToGrid w:val="0"/>
              <w:spacing w:line="336" w:lineRule="auto"/>
              <w:ind w:firstLine="420" w:firstLineChars="200"/>
              <w:rPr>
                <w:kern w:val="0"/>
              </w:rPr>
            </w:pPr>
            <w:r>
              <w:rPr>
                <w:kern w:val="0"/>
              </w:rPr>
              <w:t>矿山已开采多年，已形成1个露天采场，采场面积</w:t>
            </w:r>
            <w:r>
              <w:rPr>
                <w:rFonts w:hint="eastAsia"/>
                <w:kern w:val="0"/>
              </w:rPr>
              <w:t>***</w:t>
            </w:r>
            <w:r>
              <w:rPr>
                <w:kern w:val="0"/>
              </w:rPr>
              <w:t>公顷，露采场对山体进行挖损，原有的植被也被全部砍伐，造成山体破损、岩石裸露、植被破坏等现象，故矿业活动对地形地貌景观存在一定破坏。露采场开采水平至最低标高+</w:t>
            </w:r>
            <w:r>
              <w:rPr>
                <w:rFonts w:hint="eastAsia"/>
                <w:kern w:val="0"/>
              </w:rPr>
              <w:t>**</w:t>
            </w:r>
            <w:r>
              <w:rPr>
                <w:kern w:val="0"/>
              </w:rPr>
              <w:t>m时，其占损面积最大</w:t>
            </w:r>
            <w:r>
              <w:rPr>
                <w:rFonts w:hint="eastAsia"/>
                <w:kern w:val="0"/>
              </w:rPr>
              <w:t>***</w:t>
            </w:r>
            <w:r>
              <w:rPr>
                <w:kern w:val="0"/>
              </w:rPr>
              <w:t>公顷。</w:t>
            </w:r>
          </w:p>
          <w:p>
            <w:pPr>
              <w:adjustRightInd w:val="0"/>
              <w:snapToGrid w:val="0"/>
              <w:spacing w:line="336" w:lineRule="auto"/>
              <w:ind w:firstLine="420" w:firstLineChars="200"/>
              <w:rPr>
                <w:kern w:val="0"/>
              </w:rPr>
            </w:pPr>
            <w:r>
              <w:rPr>
                <w:kern w:val="0"/>
              </w:rPr>
              <w:t>2、土地资源占损</w:t>
            </w:r>
          </w:p>
          <w:p>
            <w:pPr>
              <w:adjustRightInd w:val="0"/>
              <w:snapToGrid w:val="0"/>
              <w:spacing w:line="336" w:lineRule="auto"/>
              <w:ind w:firstLine="420" w:firstLineChars="200"/>
              <w:rPr>
                <w:kern w:val="0"/>
                <w:szCs w:val="21"/>
              </w:rPr>
            </w:pPr>
            <w:r>
              <w:rPr>
                <w:kern w:val="0"/>
                <w:szCs w:val="21"/>
              </w:rPr>
              <w:t>矿山为开采多年矿山，矿山现已形成了完善的露天开采加工区、地面办公、生活设施及材料库等辅助建筑，采矿占用土地资源的主要有1处矿部及1处工业广场、1处露天采场和1条矿山公路</w:t>
            </w:r>
            <w:r>
              <w:rPr>
                <w:kern w:val="0"/>
              </w:rPr>
              <w:t>。据浮邱山乡第三次国土调查成果，矿山共占损用地</w:t>
            </w:r>
            <w:r>
              <w:rPr>
                <w:rFonts w:hint="eastAsia"/>
                <w:kern w:val="0"/>
              </w:rPr>
              <w:t>**</w:t>
            </w:r>
            <w:r>
              <w:rPr>
                <w:kern w:val="0"/>
              </w:rPr>
              <w:t>公顷，其中林地</w:t>
            </w:r>
            <w:r>
              <w:rPr>
                <w:rFonts w:hint="eastAsia"/>
                <w:kern w:val="0"/>
              </w:rPr>
              <w:t>***</w:t>
            </w:r>
            <w:r>
              <w:rPr>
                <w:kern w:val="0"/>
              </w:rPr>
              <w:t>公顷、采矿用地</w:t>
            </w:r>
            <w:r>
              <w:rPr>
                <w:rFonts w:hint="eastAsia"/>
                <w:kern w:val="0"/>
              </w:rPr>
              <w:t>***</w:t>
            </w:r>
            <w:r>
              <w:rPr>
                <w:kern w:val="0"/>
              </w:rPr>
              <w:t>公顷，农村宅基地</w:t>
            </w:r>
            <w:r>
              <w:rPr>
                <w:rFonts w:hint="eastAsia"/>
                <w:kern w:val="0"/>
              </w:rPr>
              <w:t>***</w:t>
            </w:r>
            <w:r>
              <w:rPr>
                <w:kern w:val="0"/>
              </w:rPr>
              <w:t>公顷、农村道路</w:t>
            </w:r>
            <w:r>
              <w:rPr>
                <w:rFonts w:hint="eastAsia"/>
                <w:kern w:val="0"/>
              </w:rPr>
              <w:t>***</w:t>
            </w:r>
            <w:r>
              <w:rPr>
                <w:kern w:val="0"/>
              </w:rPr>
              <w:t>公顷、工业用地</w:t>
            </w:r>
            <w:r>
              <w:rPr>
                <w:rFonts w:hint="eastAsia"/>
                <w:kern w:val="0"/>
              </w:rPr>
              <w:t>***</w:t>
            </w:r>
            <w:r>
              <w:rPr>
                <w:kern w:val="0"/>
              </w:rPr>
              <w:t>公顷、旱地</w:t>
            </w:r>
            <w:r>
              <w:rPr>
                <w:rFonts w:hint="eastAsia"/>
                <w:kern w:val="0"/>
              </w:rPr>
              <w:t>***</w:t>
            </w:r>
            <w:r>
              <w:rPr>
                <w:kern w:val="0"/>
              </w:rPr>
              <w:t>公顷、水田</w:t>
            </w:r>
            <w:r>
              <w:rPr>
                <w:rFonts w:hint="eastAsia"/>
                <w:kern w:val="0"/>
              </w:rPr>
              <w:t>**</w:t>
            </w:r>
            <w:r>
              <w:rPr>
                <w:kern w:val="0"/>
              </w:rPr>
              <w:t>公顷、坑塘水面</w:t>
            </w:r>
            <w:r>
              <w:rPr>
                <w:rFonts w:hint="eastAsia"/>
                <w:kern w:val="0"/>
              </w:rPr>
              <w:t>***</w:t>
            </w:r>
            <w:r>
              <w:rPr>
                <w:kern w:val="0"/>
              </w:rPr>
              <w:t>公顷。</w:t>
            </w:r>
          </w:p>
          <w:p>
            <w:pPr>
              <w:adjustRightInd w:val="0"/>
              <w:snapToGrid w:val="0"/>
              <w:spacing w:line="336" w:lineRule="auto"/>
              <w:ind w:firstLine="420" w:firstLineChars="200"/>
              <w:rPr>
                <w:kern w:val="0"/>
              </w:rPr>
            </w:pPr>
            <w:r>
              <w:rPr>
                <w:kern w:val="0"/>
              </w:rPr>
              <w:t>3、水资源水生态破坏</w:t>
            </w:r>
          </w:p>
          <w:p>
            <w:pPr>
              <w:adjustRightInd w:val="0"/>
              <w:snapToGrid w:val="0"/>
              <w:spacing w:line="336" w:lineRule="auto"/>
              <w:ind w:firstLine="420" w:firstLineChars="200"/>
              <w:rPr>
                <w:kern w:val="0"/>
              </w:rPr>
            </w:pPr>
            <w:r>
              <w:rPr>
                <w:kern w:val="0"/>
              </w:rPr>
              <w:t>现状已修建沉淀池，矿山开采对水资源水生态的破坏影响小。预测未来在做好废水处理达标排放情况下，矿山开采对水生态、水环境基本无污染影响。</w:t>
            </w:r>
          </w:p>
          <w:p>
            <w:pPr>
              <w:adjustRightInd w:val="0"/>
              <w:snapToGrid w:val="0"/>
              <w:spacing w:line="336" w:lineRule="auto"/>
              <w:ind w:firstLine="420" w:firstLineChars="200"/>
              <w:rPr>
                <w:kern w:val="0"/>
              </w:rPr>
            </w:pPr>
            <w:r>
              <w:rPr>
                <w:kern w:val="0"/>
              </w:rPr>
              <w:t>4、矿山地质灾害影响</w:t>
            </w:r>
          </w:p>
          <w:p>
            <w:pPr>
              <w:adjustRightInd w:val="0"/>
              <w:snapToGrid w:val="0"/>
              <w:spacing w:line="336" w:lineRule="auto"/>
              <w:ind w:firstLine="420" w:firstLineChars="200"/>
              <w:rPr>
                <w:kern w:val="0"/>
              </w:rPr>
            </w:pPr>
            <w:r>
              <w:t>未来采场边坡高陡，发生崩塌、滑坡地质灾害的可能性中等，威胁采场内工人生命及设备财产安全；</w:t>
            </w:r>
            <w:r>
              <w:rPr>
                <w:kern w:val="0"/>
              </w:rPr>
              <w:t>预测未来矿山存在引发岩溶地面变形的可能性中等，危险性小。</w:t>
            </w:r>
          </w:p>
          <w:p>
            <w:pPr>
              <w:adjustRightInd w:val="0"/>
              <w:snapToGrid w:val="0"/>
              <w:spacing w:line="336" w:lineRule="auto"/>
              <w:ind w:firstLine="420" w:firstLineChars="200"/>
              <w:rPr>
                <w:kern w:val="0"/>
              </w:rPr>
            </w:pPr>
            <w:r>
              <w:rPr>
                <w:kern w:val="0"/>
              </w:rPr>
              <w:t>5、生物多样性破坏</w:t>
            </w:r>
          </w:p>
          <w:p>
            <w:pPr>
              <w:adjustRightInd w:val="0"/>
              <w:snapToGrid w:val="0"/>
              <w:spacing w:line="336" w:lineRule="auto"/>
              <w:ind w:firstLine="420" w:firstLineChars="200"/>
            </w:pPr>
            <w:r>
              <w:t>矿业活动现状对生物多样性破坏很小，也无造成生物多样性破坏的趋势。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274" w:type="dxa"/>
            <w:gridSpan w:val="2"/>
            <w:tcBorders>
              <w:top w:val="single" w:color="auto" w:sz="4" w:space="0"/>
              <w:left w:val="single" w:color="auto" w:sz="4" w:space="0"/>
              <w:bottom w:val="single" w:color="auto" w:sz="4" w:space="0"/>
              <w:right w:val="single" w:color="auto" w:sz="4" w:space="0"/>
            </w:tcBorders>
            <w:vAlign w:val="center"/>
          </w:tcPr>
          <w:p>
            <w:pPr>
              <w:pStyle w:val="8"/>
              <w:ind w:left="0"/>
              <w:jc w:val="center"/>
              <w:rPr>
                <w:rFonts w:ascii="Times New Roman" w:hAnsi="Times New Roman"/>
                <w:sz w:val="22"/>
                <w:szCs w:val="22"/>
              </w:rPr>
            </w:pPr>
            <w:r>
              <w:rPr>
                <w:rFonts w:ascii="Times New Roman" w:hAnsi="Times New Roman"/>
                <w:sz w:val="22"/>
                <w:szCs w:val="22"/>
              </w:rPr>
              <w:t>生态保护</w:t>
            </w:r>
          </w:p>
          <w:p>
            <w:pPr>
              <w:pStyle w:val="8"/>
              <w:ind w:left="0"/>
              <w:jc w:val="center"/>
              <w:rPr>
                <w:rFonts w:ascii="Times New Roman" w:hAnsi="Times New Roman"/>
                <w:sz w:val="22"/>
                <w:szCs w:val="22"/>
              </w:rPr>
            </w:pPr>
            <w:r>
              <w:rPr>
                <w:rFonts w:ascii="Times New Roman" w:hAnsi="Times New Roman"/>
                <w:sz w:val="22"/>
                <w:szCs w:val="22"/>
              </w:rPr>
              <w:t>修复工程</w:t>
            </w:r>
          </w:p>
        </w:tc>
        <w:tc>
          <w:tcPr>
            <w:tcW w:w="8080" w:type="dxa"/>
            <w:gridSpan w:val="6"/>
            <w:tcBorders>
              <w:top w:val="single" w:color="auto" w:sz="4" w:space="0"/>
              <w:left w:val="nil"/>
              <w:bottom w:val="single" w:color="auto" w:sz="4" w:space="0"/>
              <w:right w:val="single" w:color="auto" w:sz="4" w:space="0"/>
            </w:tcBorders>
            <w:vAlign w:val="center"/>
          </w:tcPr>
          <w:p>
            <w:pPr>
              <w:adjustRightInd w:val="0"/>
              <w:snapToGrid w:val="0"/>
              <w:spacing w:line="336" w:lineRule="auto"/>
              <w:ind w:firstLine="420" w:firstLineChars="200"/>
              <w:rPr>
                <w:kern w:val="0"/>
              </w:rPr>
            </w:pPr>
            <w:r>
              <w:rPr>
                <w:kern w:val="0"/>
              </w:rPr>
              <w:t>1、矿山开采期间沿境界外依地形修建截水沟，边坡坡顶设置安全防护围栏并设立警示标识；</w:t>
            </w:r>
          </w:p>
          <w:p>
            <w:pPr>
              <w:adjustRightInd w:val="0"/>
              <w:snapToGrid w:val="0"/>
              <w:spacing w:line="336" w:lineRule="auto"/>
              <w:ind w:firstLine="420" w:firstLineChars="200"/>
              <w:rPr>
                <w:kern w:val="0"/>
              </w:rPr>
            </w:pPr>
            <w:r>
              <w:rPr>
                <w:kern w:val="0"/>
              </w:rPr>
              <w:t>2、开采期间严格按照设计留设采场台阶边坡，并对其开展地质灾害监测工程；台阶终了后，对露采场边坡表面存在的明显松动的危岩体和浮石进行清除，并对平台进行覆土复绿，坡面绿化。</w:t>
            </w:r>
          </w:p>
          <w:p>
            <w:pPr>
              <w:adjustRightInd w:val="0"/>
              <w:snapToGrid w:val="0"/>
              <w:spacing w:line="336" w:lineRule="auto"/>
              <w:ind w:firstLine="420" w:firstLineChars="200"/>
              <w:rPr>
                <w:kern w:val="0"/>
              </w:rPr>
            </w:pPr>
            <w:r>
              <w:rPr>
                <w:kern w:val="0"/>
              </w:rPr>
              <w:t>4、矿山闭采后全面复垦，露采场底盘修复为水塘；工业广场、矿部部分转型利用为建设用地，非建设用地区域修复为林草地，采场边坡及平台区种植乔灌草复垦为林草地。</w:t>
            </w:r>
          </w:p>
          <w:p>
            <w:pPr>
              <w:adjustRightInd w:val="0"/>
              <w:snapToGrid w:val="0"/>
              <w:spacing w:line="336" w:lineRule="auto"/>
              <w:ind w:firstLine="420" w:firstLineChars="200"/>
              <w:rPr>
                <w:kern w:val="0"/>
              </w:rPr>
            </w:pPr>
            <w:r>
              <w:rPr>
                <w:kern w:val="0"/>
              </w:rPr>
              <w:t>5、开采期间对矿山采坑排水和生活废水进行处理、综合利用及水质监测，使矿山废水达标排放。</w:t>
            </w:r>
          </w:p>
          <w:p>
            <w:pPr>
              <w:adjustRightInd w:val="0"/>
              <w:snapToGrid w:val="0"/>
              <w:spacing w:line="336" w:lineRule="auto"/>
              <w:ind w:firstLine="420" w:firstLineChars="200"/>
            </w:pPr>
            <w:r>
              <w:rPr>
                <w:kern w:val="0"/>
              </w:rPr>
              <w:t>6、对于生态修复完毕的土地，开展3年的管护期，防止土地的退化。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74" w:type="dxa"/>
            <w:gridSpan w:val="2"/>
            <w:tcBorders>
              <w:top w:val="single" w:color="auto" w:sz="4" w:space="0"/>
              <w:left w:val="single" w:color="auto" w:sz="4" w:space="0"/>
              <w:bottom w:val="single" w:color="auto" w:sz="4" w:space="0"/>
              <w:right w:val="single" w:color="auto" w:sz="4" w:space="0"/>
            </w:tcBorders>
            <w:vAlign w:val="center"/>
          </w:tcPr>
          <w:p>
            <w:pPr>
              <w:pStyle w:val="8"/>
              <w:ind w:left="0" w:firstLine="220" w:firstLineChars="100"/>
              <w:jc w:val="center"/>
              <w:rPr>
                <w:rFonts w:ascii="Times New Roman" w:hAnsi="Times New Roman"/>
                <w:sz w:val="22"/>
                <w:szCs w:val="22"/>
              </w:rPr>
            </w:pPr>
            <w:r>
              <w:rPr>
                <w:rFonts w:ascii="Times New Roman" w:hAnsi="Times New Roman"/>
                <w:sz w:val="22"/>
                <w:szCs w:val="22"/>
              </w:rPr>
              <w:t>进度安排</w:t>
            </w:r>
          </w:p>
        </w:tc>
        <w:tc>
          <w:tcPr>
            <w:tcW w:w="8080" w:type="dxa"/>
            <w:gridSpan w:val="6"/>
            <w:tcBorders>
              <w:top w:val="single" w:color="auto" w:sz="4" w:space="0"/>
              <w:left w:val="nil"/>
              <w:bottom w:val="single" w:color="auto" w:sz="4" w:space="0"/>
              <w:right w:val="single" w:color="auto" w:sz="4" w:space="0"/>
            </w:tcBorders>
            <w:vAlign w:val="center"/>
          </w:tcPr>
          <w:p>
            <w:pPr>
              <w:adjustRightInd w:val="0"/>
              <w:snapToGrid w:val="0"/>
              <w:spacing w:line="336" w:lineRule="auto"/>
              <w:ind w:firstLine="420" w:firstLineChars="200"/>
            </w:pPr>
            <w:r>
              <w:t>1、开采期（2023年3月～2030年12月）</w:t>
            </w:r>
          </w:p>
          <w:p>
            <w:pPr>
              <w:adjustRightInd w:val="0"/>
              <w:snapToGrid w:val="0"/>
              <w:spacing w:line="336" w:lineRule="auto"/>
              <w:ind w:firstLine="420" w:firstLineChars="200"/>
            </w:pPr>
            <w:r>
              <w:t>根据“预防为主、治理为辅”的原则，优先对矿山即将正式开采的场地部分进行治理。矿山开采期间主要开展以下矿山生态保护修复工程：</w:t>
            </w:r>
          </w:p>
          <w:p>
            <w:pPr>
              <w:adjustRightInd w:val="0"/>
              <w:snapToGrid w:val="0"/>
              <w:spacing w:line="336" w:lineRule="auto"/>
              <w:ind w:firstLine="420" w:firstLineChars="200"/>
            </w:pPr>
            <w:r>
              <w:t>（1）生态保护工程</w:t>
            </w:r>
          </w:p>
          <w:p>
            <w:pPr>
              <w:adjustRightInd w:val="0"/>
              <w:snapToGrid w:val="0"/>
              <w:spacing w:line="336" w:lineRule="auto"/>
              <w:ind w:firstLine="420" w:firstLineChars="200"/>
            </w:pPr>
            <w:r>
              <w:rPr>
                <w:rFonts w:hint="eastAsia" w:ascii="宋体" w:hAnsi="宋体" w:cs="宋体"/>
              </w:rPr>
              <w:t>①</w:t>
            </w:r>
            <w:r>
              <w:t>生态环境保护宣传栏4块</w:t>
            </w:r>
          </w:p>
          <w:p>
            <w:pPr>
              <w:adjustRightInd w:val="0"/>
              <w:snapToGrid w:val="0"/>
              <w:spacing w:line="336" w:lineRule="auto"/>
              <w:ind w:firstLine="420" w:firstLineChars="200"/>
            </w:pPr>
            <w:r>
              <w:rPr>
                <w:rFonts w:hint="eastAsia" w:ascii="宋体" w:hAnsi="宋体" w:cs="宋体"/>
              </w:rPr>
              <w:t>②</w:t>
            </w:r>
            <w:r>
              <w:t>水生态水环境保护修复工程</w:t>
            </w:r>
          </w:p>
          <w:p>
            <w:pPr>
              <w:adjustRightInd w:val="0"/>
              <w:snapToGrid w:val="0"/>
              <w:spacing w:line="336" w:lineRule="auto"/>
              <w:ind w:firstLine="420" w:firstLineChars="200"/>
            </w:pPr>
            <w:r>
              <w:t>工业广场沉淀池1个。</w:t>
            </w:r>
          </w:p>
          <w:p>
            <w:pPr>
              <w:adjustRightInd w:val="0"/>
              <w:snapToGrid w:val="0"/>
              <w:spacing w:line="336" w:lineRule="auto"/>
              <w:ind w:firstLine="420" w:firstLineChars="200"/>
            </w:pPr>
            <w:r>
              <w:t>（3）地质灾害安全隐患消除工程</w:t>
            </w:r>
          </w:p>
          <w:p>
            <w:pPr>
              <w:adjustRightInd w:val="0"/>
              <w:snapToGrid w:val="0"/>
              <w:spacing w:line="336" w:lineRule="auto"/>
              <w:ind w:firstLine="420" w:firstLineChars="200"/>
            </w:pPr>
            <w:r>
              <w:rPr>
                <w:rFonts w:hint="eastAsia" w:ascii="宋体" w:hAnsi="宋体" w:cs="宋体"/>
              </w:rPr>
              <w:t>①</w:t>
            </w:r>
            <w:r>
              <w:t>露采场边坡危岩清理工程；</w:t>
            </w:r>
          </w:p>
          <w:p>
            <w:pPr>
              <w:adjustRightInd w:val="0"/>
              <w:snapToGrid w:val="0"/>
              <w:spacing w:line="336" w:lineRule="auto"/>
              <w:ind w:firstLine="420" w:firstLineChars="200"/>
            </w:pPr>
            <w:r>
              <w:rPr>
                <w:rFonts w:hint="eastAsia" w:ascii="宋体" w:hAnsi="宋体" w:cs="宋体"/>
              </w:rPr>
              <w:t>②</w:t>
            </w:r>
            <w:r>
              <w:t>露采场境界排水沟工程；</w:t>
            </w:r>
          </w:p>
          <w:p>
            <w:pPr>
              <w:adjustRightInd w:val="0"/>
              <w:snapToGrid w:val="0"/>
              <w:spacing w:line="336" w:lineRule="auto"/>
              <w:ind w:firstLine="420" w:firstLineChars="200"/>
            </w:pPr>
            <w:r>
              <w:rPr>
                <w:rFonts w:hint="eastAsia" w:ascii="宋体" w:hAnsi="宋体" w:cs="宋体"/>
              </w:rPr>
              <w:t>③</w:t>
            </w:r>
            <w:r>
              <w:t>后期泄洪道的修建工程；</w:t>
            </w:r>
          </w:p>
          <w:p>
            <w:pPr>
              <w:adjustRightInd w:val="0"/>
              <w:snapToGrid w:val="0"/>
              <w:spacing w:line="336" w:lineRule="auto"/>
              <w:ind w:firstLine="420" w:firstLineChars="200"/>
            </w:pPr>
            <w:r>
              <w:rPr>
                <w:rFonts w:hint="eastAsia" w:ascii="宋体" w:hAnsi="宋体" w:cs="宋体"/>
              </w:rPr>
              <w:t>④</w:t>
            </w:r>
            <w:r>
              <w:t>东侧土质边坡</w:t>
            </w:r>
            <w:r>
              <w:rPr>
                <w:rFonts w:hint="eastAsia"/>
              </w:rPr>
              <w:t>进行削坡处理，表面堆砌浆砌块石，进行砂浆抹面；</w:t>
            </w:r>
          </w:p>
          <w:p>
            <w:pPr>
              <w:adjustRightInd w:val="0"/>
              <w:snapToGrid w:val="0"/>
              <w:spacing w:line="336" w:lineRule="auto"/>
              <w:ind w:firstLine="420" w:firstLineChars="200"/>
            </w:pPr>
            <w:r>
              <w:t>（4）矿山生态保护修复工程</w:t>
            </w:r>
          </w:p>
          <w:p>
            <w:pPr>
              <w:adjustRightInd w:val="0"/>
              <w:snapToGrid w:val="0"/>
              <w:spacing w:line="336" w:lineRule="auto"/>
              <w:ind w:firstLine="420" w:firstLineChars="200"/>
            </w:pPr>
            <w:r>
              <w:rPr>
                <w:rFonts w:hint="eastAsia" w:ascii="宋体" w:hAnsi="宋体" w:cs="宋体"/>
              </w:rPr>
              <w:t>①</w:t>
            </w:r>
            <w:r>
              <w:t>露采场（Lc1）按修复计划将不再开采的露采平台复垦为灌木林地，边坡装上锚钉挂网，底部种植爬山虎，平台外侧装上防护栏。</w:t>
            </w:r>
          </w:p>
          <w:p>
            <w:pPr>
              <w:adjustRightInd w:val="0"/>
              <w:snapToGrid w:val="0"/>
              <w:spacing w:line="336" w:lineRule="auto"/>
              <w:ind w:firstLine="420" w:firstLineChars="200"/>
            </w:pPr>
            <w:r>
              <w:rPr>
                <w:rFonts w:hint="eastAsia" w:ascii="宋体" w:hAnsi="宋体" w:cs="宋体"/>
              </w:rPr>
              <w:t>②</w:t>
            </w:r>
            <w:r>
              <w:t>监测工程：采场沉淀池排水口水质监测、露采场边坡稳定性监测；同时对采场下游耕地进行土壤环境质量监测；</w:t>
            </w:r>
          </w:p>
          <w:p>
            <w:pPr>
              <w:adjustRightInd w:val="0"/>
              <w:snapToGrid w:val="0"/>
              <w:spacing w:line="336" w:lineRule="auto"/>
              <w:ind w:firstLine="420" w:firstLineChars="200"/>
            </w:pPr>
            <w:r>
              <w:rPr>
                <w:rFonts w:hint="eastAsia" w:ascii="宋体" w:hAnsi="宋体" w:cs="宋体"/>
              </w:rPr>
              <w:t>③</w:t>
            </w:r>
            <w:r>
              <w:t>管护工程：按修复计划，对复垦后的灌木林地、边坡草地进行实时管护，保证植被成活。</w:t>
            </w:r>
          </w:p>
          <w:p>
            <w:pPr>
              <w:adjustRightInd w:val="0"/>
              <w:snapToGrid w:val="0"/>
              <w:spacing w:line="336" w:lineRule="auto"/>
              <w:ind w:firstLine="420" w:firstLineChars="200"/>
            </w:pPr>
            <w:r>
              <w:t>（5）年度工作安排</w:t>
            </w:r>
          </w:p>
          <w:p>
            <w:pPr>
              <w:adjustRightInd w:val="0"/>
              <w:snapToGrid w:val="0"/>
              <w:spacing w:line="336" w:lineRule="auto"/>
              <w:ind w:firstLine="420" w:firstLineChars="200"/>
            </w:pPr>
            <w:r>
              <w:t>第一年：（a）现在已经在进行削坡覆土的东南侧，进行草籽复绿，斜坡面积约为214平方米，根据开发利用方案，首年度在南侧开采形成（+90到最低开采标高的4阶平台，边坡长度约为</w:t>
            </w:r>
            <w:r>
              <w:rPr>
                <w:rFonts w:hint="eastAsia"/>
              </w:rPr>
              <w:t>***</w:t>
            </w:r>
            <w:r>
              <w:t>米），在此区域内进行边坡修复工作；（b）露采场沉淀池的修建，并进行清淤工作；（c）境外截水沟的修建；（d）设置铁防护栏和警示牌，沿着矿界。</w:t>
            </w:r>
          </w:p>
          <w:p>
            <w:pPr>
              <w:adjustRightInd w:val="0"/>
              <w:snapToGrid w:val="0"/>
              <w:spacing w:line="336" w:lineRule="auto"/>
              <w:ind w:firstLine="420" w:firstLineChars="200"/>
            </w:pPr>
            <w:r>
              <w:t>往后的开采按照开发利用方案设计的顺序开采，由东南到西北侧，依次开采，依次形成相应的平台，在进行复绿工作（包扣平台覆土、安装防护栏、锚钉的安装工作、种植爬山虎、种植灌木等），具体工程量见工程部署图和年度工作表。</w:t>
            </w:r>
          </w:p>
          <w:p>
            <w:pPr>
              <w:adjustRightInd w:val="0"/>
              <w:snapToGrid w:val="0"/>
              <w:spacing w:line="336" w:lineRule="auto"/>
              <w:ind w:firstLine="420" w:firstLineChars="200"/>
            </w:pPr>
            <w:r>
              <w:t>（6）矿山开采期间对突发矿山生态环境问题进行保护修复，确保保护修复与生产同步实施。</w:t>
            </w:r>
          </w:p>
          <w:p>
            <w:pPr>
              <w:adjustRightInd w:val="0"/>
              <w:snapToGrid w:val="0"/>
              <w:spacing w:line="336" w:lineRule="auto"/>
              <w:ind w:firstLine="420" w:firstLineChars="200"/>
            </w:pPr>
            <w:r>
              <w:t>2、闭采修复期（2031年1月～2031年12月）</w:t>
            </w:r>
          </w:p>
          <w:p>
            <w:pPr>
              <w:adjustRightInd w:val="0"/>
              <w:snapToGrid w:val="0"/>
              <w:spacing w:line="336" w:lineRule="auto"/>
              <w:ind w:firstLine="420" w:firstLineChars="200"/>
            </w:pPr>
            <w:r>
              <w:t>按照“谁破坏、谁治理、谁复垦”的原则，矿山做好以下矿山生态保护修复工程：</w:t>
            </w:r>
          </w:p>
          <w:p>
            <w:pPr>
              <w:adjustRightInd w:val="0"/>
              <w:snapToGrid w:val="0"/>
              <w:spacing w:line="336" w:lineRule="auto"/>
              <w:ind w:firstLine="420" w:firstLineChars="200"/>
            </w:pPr>
            <w:r>
              <w:t>（1）矿部及工业广场转型利用为建设用地，地面建筑物进行拆除，非建设用地区域修复为林草地。</w:t>
            </w:r>
          </w:p>
          <w:p>
            <w:pPr>
              <w:adjustRightInd w:val="0"/>
              <w:snapToGrid w:val="0"/>
              <w:spacing w:line="336" w:lineRule="auto"/>
              <w:ind w:firstLine="420" w:firstLineChars="200"/>
            </w:pPr>
            <w:r>
              <w:t>（2）露采场底盘修复为水塘。</w:t>
            </w:r>
          </w:p>
          <w:p>
            <w:pPr>
              <w:adjustRightInd w:val="0"/>
              <w:snapToGrid w:val="0"/>
              <w:spacing w:line="336" w:lineRule="auto"/>
              <w:ind w:firstLine="420" w:firstLineChars="200"/>
            </w:pPr>
            <w:r>
              <w:t>3、监测管护期（2032年1月～2034年12月）</w:t>
            </w:r>
          </w:p>
          <w:p>
            <w:pPr>
              <w:adjustRightInd w:val="0"/>
              <w:snapToGrid w:val="0"/>
              <w:spacing w:line="336" w:lineRule="auto"/>
              <w:ind w:firstLine="210" w:firstLineChars="100"/>
            </w:pPr>
            <w:r>
              <w:t>对矿山生态修复单元进行监测管护工作，管护工作与生态修复工程实施的时期基本一致，全部修复工程完工后，在顺延三年，防止修复土地的退化，保证植树三年后成活率70%以上、郁闭度30%以上。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4" w:type="dxa"/>
            <w:gridSpan w:val="2"/>
            <w:tcBorders>
              <w:top w:val="single" w:color="auto" w:sz="4" w:space="0"/>
              <w:left w:val="single" w:color="auto" w:sz="4" w:space="0"/>
              <w:bottom w:val="single" w:color="auto" w:sz="4" w:space="0"/>
              <w:right w:val="single" w:color="auto" w:sz="4" w:space="0"/>
            </w:tcBorders>
            <w:vAlign w:val="center"/>
          </w:tcPr>
          <w:p>
            <w:pPr>
              <w:pStyle w:val="8"/>
              <w:ind w:left="0" w:firstLine="220" w:firstLineChars="100"/>
              <w:jc w:val="center"/>
              <w:rPr>
                <w:rFonts w:ascii="Times New Roman" w:hAnsi="Times New Roman"/>
                <w:sz w:val="22"/>
                <w:szCs w:val="22"/>
              </w:rPr>
            </w:pPr>
            <w:r>
              <w:rPr>
                <w:rFonts w:ascii="Times New Roman" w:hAnsi="Times New Roman"/>
                <w:sz w:val="22"/>
                <w:szCs w:val="22"/>
              </w:rPr>
              <w:t>经费估算</w:t>
            </w:r>
          </w:p>
          <w:p>
            <w:pPr>
              <w:pStyle w:val="8"/>
              <w:ind w:left="0" w:firstLine="220" w:firstLineChars="100"/>
              <w:jc w:val="center"/>
              <w:rPr>
                <w:rFonts w:ascii="Times New Roman" w:hAnsi="Times New Roman"/>
                <w:sz w:val="22"/>
                <w:szCs w:val="22"/>
              </w:rPr>
            </w:pPr>
            <w:r>
              <w:rPr>
                <w:rFonts w:ascii="Times New Roman" w:hAnsi="Times New Roman"/>
                <w:sz w:val="22"/>
                <w:szCs w:val="22"/>
              </w:rPr>
              <w:t>与基金管理</w:t>
            </w:r>
          </w:p>
        </w:tc>
        <w:tc>
          <w:tcPr>
            <w:tcW w:w="8080" w:type="dxa"/>
            <w:gridSpan w:val="6"/>
            <w:tcBorders>
              <w:top w:val="single" w:color="auto" w:sz="4" w:space="0"/>
              <w:left w:val="nil"/>
              <w:bottom w:val="single" w:color="auto" w:sz="4" w:space="0"/>
              <w:right w:val="single" w:color="auto" w:sz="4" w:space="0"/>
            </w:tcBorders>
            <w:vAlign w:val="center"/>
          </w:tcPr>
          <w:p>
            <w:pPr>
              <w:adjustRightInd w:val="0"/>
              <w:snapToGrid w:val="0"/>
              <w:spacing w:line="336" w:lineRule="auto"/>
              <w:ind w:firstLine="420" w:firstLineChars="200"/>
            </w:pPr>
            <w:r>
              <w:t>矿山生态修复工程总投资估算</w:t>
            </w:r>
            <w:r>
              <w:rPr>
                <w:rFonts w:hint="eastAsia"/>
              </w:rPr>
              <w:t>****</w:t>
            </w:r>
            <w:r>
              <w:t>万元（其中：工程费</w:t>
            </w:r>
            <w:r>
              <w:rPr>
                <w:rFonts w:hint="eastAsia"/>
              </w:rPr>
              <w:t>***</w:t>
            </w:r>
            <w:r>
              <w:t>万元，其他费用</w:t>
            </w:r>
            <w:r>
              <w:rPr>
                <w:rFonts w:hint="eastAsia"/>
              </w:rPr>
              <w:t>****</w:t>
            </w:r>
            <w:r>
              <w:t>万元，不可预见费用</w:t>
            </w:r>
            <w:r>
              <w:rPr>
                <w:rFonts w:hint="eastAsia"/>
              </w:rPr>
              <w:t>****</w:t>
            </w:r>
            <w:r>
              <w:t>万元）。</w:t>
            </w:r>
          </w:p>
          <w:p>
            <w:pPr>
              <w:adjustRightInd w:val="0"/>
              <w:snapToGrid w:val="0"/>
              <w:spacing w:line="336" w:lineRule="auto"/>
              <w:ind w:firstLine="420" w:firstLineChars="200"/>
            </w:pPr>
            <w:r>
              <w:t>矿山生态保护修复费用由桃江县金桥石业有限公司支付，存进专用账户，采取从矿产品销售收入中提成的方法解决，提取的费用从成本中列支。矿山开采年限为7.7年，生态保护修复基金计划在6年内提取完。</w:t>
            </w:r>
          </w:p>
        </w:tc>
      </w:tr>
    </w:tbl>
    <w:p>
      <w:pPr>
        <w:pStyle w:val="82"/>
        <w:spacing w:afterLines="50" w:line="240" w:lineRule="auto"/>
        <w:ind w:firstLine="0" w:firstLineChars="0"/>
        <w:jc w:val="both"/>
        <w:rPr>
          <w:rFonts w:ascii="Times New Roman" w:hAnsi="Times New Roman" w:eastAsia="宋体" w:cs="Times New Roman"/>
          <w:sz w:val="28"/>
          <w:szCs w:val="28"/>
        </w:rPr>
      </w:pPr>
    </w:p>
    <w:p>
      <w:pPr>
        <w:pStyle w:val="2"/>
        <w:sectPr>
          <w:pgSz w:w="11906" w:h="16838"/>
          <w:pgMar w:top="1247" w:right="1361" w:bottom="1247" w:left="1361" w:header="851" w:footer="992" w:gutter="0"/>
          <w:pgNumType w:start="1"/>
          <w:cols w:space="720" w:num="1"/>
          <w:docGrid w:type="lines" w:linePitch="312" w:charSpace="0"/>
        </w:sectPr>
      </w:pPr>
    </w:p>
    <w:p>
      <w:pPr>
        <w:spacing w:line="440" w:lineRule="exact"/>
        <w:jc w:val="center"/>
        <w:rPr>
          <w:sz w:val="36"/>
          <w:szCs w:val="36"/>
        </w:rPr>
      </w:pPr>
      <w:r>
        <w:rPr>
          <w:sz w:val="36"/>
          <w:szCs w:val="36"/>
        </w:rPr>
        <w:t>目   录</w:t>
      </w:r>
    </w:p>
    <w:p>
      <w:pPr>
        <w:pStyle w:val="21"/>
        <w:tabs>
          <w:tab w:val="right" w:leader="dot" w:pos="8664"/>
        </w:tabs>
        <w:spacing w:line="360" w:lineRule="auto"/>
        <w:rPr>
          <w:rFonts w:ascii="Times New Roman" w:hAnsi="Times New Roman"/>
          <w:b w:val="0"/>
          <w:bCs w:val="0"/>
          <w:sz w:val="24"/>
          <w:szCs w:val="24"/>
        </w:rPr>
      </w:pPr>
      <w:r>
        <w:rPr>
          <w:rFonts w:ascii="Times New Roman" w:hAnsi="Times New Roman"/>
          <w:b w:val="0"/>
          <w:bCs w:val="0"/>
          <w:smallCaps/>
          <w:sz w:val="24"/>
          <w:szCs w:val="24"/>
        </w:rPr>
        <w:fldChar w:fldCharType="begin"/>
      </w:r>
      <w:r>
        <w:rPr>
          <w:rFonts w:ascii="Times New Roman" w:hAnsi="Times New Roman"/>
          <w:b w:val="0"/>
          <w:bCs w:val="0"/>
          <w:smallCaps/>
          <w:sz w:val="24"/>
          <w:szCs w:val="24"/>
        </w:rPr>
        <w:instrText xml:space="preserve"> TOC \o "1-2" \h \z \u </w:instrText>
      </w:r>
      <w:r>
        <w:rPr>
          <w:rFonts w:ascii="Times New Roman" w:hAnsi="Times New Roman"/>
          <w:b w:val="0"/>
          <w:bCs w:val="0"/>
          <w:smallCaps/>
          <w:sz w:val="24"/>
          <w:szCs w:val="24"/>
        </w:rPr>
        <w:fldChar w:fldCharType="separate"/>
      </w:r>
      <w:r>
        <w:fldChar w:fldCharType="begin"/>
      </w:r>
      <w:r>
        <w:instrText xml:space="preserve"> HYPERLINK \l "_Toc130937621" </w:instrText>
      </w:r>
      <w:r>
        <w:fldChar w:fldCharType="separate"/>
      </w:r>
      <w:r>
        <w:rPr>
          <w:rStyle w:val="40"/>
          <w:rFonts w:ascii="Times New Roman" w:hAnsi="Times New Roman" w:cs="Times New Roman"/>
          <w:color w:val="auto"/>
          <w:szCs w:val="24"/>
        </w:rPr>
        <w:t>第一章  基本情况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_Toc130937621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"_Toc130937622" </w:instrText>
      </w:r>
      <w:r>
        <w:fldChar w:fldCharType="separate"/>
      </w:r>
      <w:r>
        <w:rPr>
          <w:rStyle w:val="40"/>
          <w:rFonts w:ascii="Times New Roman" w:hAnsi="Times New Roman" w:cs="Times New Roman"/>
          <w:color w:val="auto"/>
          <w:szCs w:val="24"/>
        </w:rPr>
        <w:t>一、方案编制概况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"_Toc130937623" </w:instrText>
      </w:r>
      <w:r>
        <w:fldChar w:fldCharType="separate"/>
      </w:r>
      <w:r>
        <w:rPr>
          <w:rStyle w:val="40"/>
          <w:rFonts w:ascii="Times New Roman" w:hAnsi="Times New Roman" w:cs="Times New Roman"/>
          <w:color w:val="auto"/>
          <w:szCs w:val="24"/>
        </w:rPr>
        <w:t>二、矿山基本情况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_Toc130937623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"_Toc130937624" </w:instrText>
      </w:r>
      <w:r>
        <w:fldChar w:fldCharType="separate"/>
      </w:r>
      <w:r>
        <w:rPr>
          <w:rStyle w:val="40"/>
          <w:rFonts w:ascii="Times New Roman" w:hAnsi="Times New Roman" w:cs="Times New Roman"/>
          <w:color w:val="auto"/>
          <w:szCs w:val="24"/>
        </w:rPr>
        <w:t>三、矿山开采与生态保护修复现状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_Toc130937624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"_Toc130937625" </w:instrText>
      </w:r>
      <w:r>
        <w:fldChar w:fldCharType="separate"/>
      </w:r>
      <w:r>
        <w:rPr>
          <w:rStyle w:val="40"/>
          <w:rFonts w:ascii="Times New Roman" w:hAnsi="Times New Roman" w:cs="Times New Roman"/>
          <w:color w:val="auto"/>
          <w:szCs w:val="24"/>
        </w:rPr>
        <w:t>第二章  矿山生态环境背景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_Toc130937625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"_Toc130937626" </w:instrText>
      </w:r>
      <w:r>
        <w:fldChar w:fldCharType="separate"/>
      </w:r>
      <w:r>
        <w:rPr>
          <w:rStyle w:val="40"/>
          <w:rFonts w:ascii="Times New Roman" w:hAnsi="Times New Roman" w:cs="Times New Roman"/>
          <w:color w:val="auto"/>
          <w:szCs w:val="24"/>
        </w:rPr>
        <w:t>一、自然地理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_Toc130937626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"_Toc130937627" </w:instrText>
      </w:r>
      <w:r>
        <w:fldChar w:fldCharType="separate"/>
      </w:r>
      <w:r>
        <w:rPr>
          <w:rStyle w:val="40"/>
          <w:rFonts w:ascii="Times New Roman" w:hAnsi="Times New Roman" w:cs="Times New Roman"/>
          <w:color w:val="auto"/>
          <w:szCs w:val="24"/>
        </w:rPr>
        <w:t>二、地质环境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"_Toc130937628" </w:instrText>
      </w:r>
      <w:r>
        <w:fldChar w:fldCharType="separate"/>
      </w:r>
      <w:r>
        <w:rPr>
          <w:rStyle w:val="40"/>
          <w:rFonts w:ascii="Times New Roman" w:hAnsi="Times New Roman" w:cs="Times New Roman"/>
          <w:color w:val="auto"/>
          <w:szCs w:val="24"/>
        </w:rPr>
        <w:t>三、生物环境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_Toc130937628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"_Toc130937629" </w:instrText>
      </w:r>
      <w:r>
        <w:fldChar w:fldCharType="separate"/>
      </w:r>
      <w:r>
        <w:rPr>
          <w:rStyle w:val="40"/>
          <w:rFonts w:ascii="Times New Roman" w:hAnsi="Times New Roman" w:cs="Times New Roman"/>
          <w:color w:val="auto"/>
          <w:szCs w:val="24"/>
        </w:rPr>
        <w:t>四、人居环境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_Toc130937629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"_Toc130937630" </w:instrText>
      </w:r>
      <w:r>
        <w:fldChar w:fldCharType="separate"/>
      </w:r>
      <w:r>
        <w:rPr>
          <w:rStyle w:val="40"/>
          <w:rFonts w:ascii="Times New Roman" w:hAnsi="Times New Roman" w:cs="Times New Roman"/>
          <w:color w:val="auto"/>
          <w:szCs w:val="24"/>
        </w:rPr>
        <w:t>第三章 矿山生态环境问题</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_Toc130937630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left" w:pos="1260"/>
          <w:tab w:val="right" w:leader="dot" w:pos="8664"/>
        </w:tabs>
        <w:spacing w:line="360" w:lineRule="auto"/>
        <w:ind w:firstLine="480"/>
        <w:rPr>
          <w:rFonts w:ascii="Times New Roman" w:hAnsi="Times New Roman"/>
        </w:rPr>
      </w:pPr>
      <w:r>
        <w:fldChar w:fldCharType="begin"/>
      </w:r>
      <w:r>
        <w:instrText xml:space="preserve"> HYPERLINK \l "_Toc130937631" </w:instrText>
      </w:r>
      <w:r>
        <w:fldChar w:fldCharType="separate"/>
      </w:r>
      <w:r>
        <w:rPr>
          <w:rStyle w:val="40"/>
          <w:rFonts w:ascii="Times New Roman" w:hAnsi="Times New Roman" w:cs="Times New Roman"/>
          <w:color w:val="auto"/>
          <w:szCs w:val="24"/>
        </w:rPr>
        <w:t>一、</w:t>
      </w:r>
      <w:r>
        <w:rPr>
          <w:rFonts w:ascii="Times New Roman" w:hAnsi="Times New Roman"/>
        </w:rPr>
        <w:tab/>
      </w:r>
      <w:r>
        <w:rPr>
          <w:rStyle w:val="40"/>
          <w:rFonts w:ascii="Times New Roman" w:hAnsi="Times New Roman" w:cs="Times New Roman"/>
          <w:color w:val="auto"/>
          <w:szCs w:val="24"/>
        </w:rPr>
        <w:t>地形地貌景观破坏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_Toc130937631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"_Toc130937632" </w:instrText>
      </w:r>
      <w:r>
        <w:fldChar w:fldCharType="separate"/>
      </w:r>
      <w:r>
        <w:rPr>
          <w:rStyle w:val="40"/>
          <w:rFonts w:ascii="Times New Roman" w:hAnsi="Times New Roman" w:cs="Times New Roman"/>
          <w:color w:val="auto"/>
          <w:szCs w:val="24"/>
        </w:rPr>
        <w:t>二、土地资源占损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_Toc130937632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"_Toc130937633" </w:instrText>
      </w:r>
      <w:r>
        <w:fldChar w:fldCharType="separate"/>
      </w:r>
      <w:r>
        <w:rPr>
          <w:rStyle w:val="40"/>
          <w:rFonts w:ascii="Times New Roman" w:hAnsi="Times New Roman" w:cs="Times New Roman"/>
          <w:color w:val="auto"/>
          <w:szCs w:val="24"/>
        </w:rPr>
        <w:t>三、水资源水生态影响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_Toc130937633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"_Toc130937634" </w:instrText>
      </w:r>
      <w:r>
        <w:fldChar w:fldCharType="separate"/>
      </w:r>
      <w:r>
        <w:rPr>
          <w:rStyle w:val="40"/>
          <w:rFonts w:ascii="Times New Roman" w:hAnsi="Times New Roman" w:cs="Times New Roman"/>
          <w:color w:val="auto"/>
          <w:szCs w:val="24"/>
        </w:rPr>
        <w:t>四、矿山地质灾害影响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_Toc130937634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"_Toc130937635" </w:instrText>
      </w:r>
      <w:r>
        <w:fldChar w:fldCharType="separate"/>
      </w:r>
      <w:r>
        <w:rPr>
          <w:rStyle w:val="40"/>
          <w:rFonts w:ascii="Times New Roman" w:hAnsi="Times New Roman" w:cs="Times New Roman"/>
          <w:color w:val="auto"/>
          <w:szCs w:val="24"/>
        </w:rPr>
        <w:t>五、生物多样性破坏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_Toc130937635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"_Toc130937636" </w:instrText>
      </w:r>
      <w:r>
        <w:fldChar w:fldCharType="separate"/>
      </w:r>
      <w:r>
        <w:rPr>
          <w:rStyle w:val="40"/>
          <w:rFonts w:ascii="Times New Roman" w:hAnsi="Times New Roman" w:cs="Times New Roman"/>
          <w:color w:val="auto"/>
          <w:szCs w:val="24"/>
        </w:rPr>
        <w:t>第四章  生态保护修复工程部署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_Toc130937636 \h </w:instrText>
      </w:r>
      <w:r>
        <w:rPr>
          <w:rFonts w:ascii="Times New Roman" w:hAnsi="Times New Roman"/>
          <w:sz w:val="24"/>
          <w:szCs w:val="24"/>
        </w:rPr>
        <w:fldChar w:fldCharType="separate"/>
      </w:r>
      <w:r>
        <w:rPr>
          <w:rFonts w:ascii="Times New Roman" w:hAnsi="Times New Roman"/>
          <w:sz w:val="24"/>
          <w:szCs w:val="24"/>
        </w:rPr>
        <w:t>36</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"_Toc130937637" </w:instrText>
      </w:r>
      <w:r>
        <w:fldChar w:fldCharType="separate"/>
      </w:r>
      <w:r>
        <w:rPr>
          <w:rStyle w:val="40"/>
          <w:rFonts w:ascii="Times New Roman" w:hAnsi="Times New Roman" w:cs="Times New Roman"/>
          <w:color w:val="auto"/>
          <w:szCs w:val="24"/>
        </w:rPr>
        <w:t>一、生态保护修复工程部署思路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_Toc130937637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"_Toc130937638" </w:instrText>
      </w:r>
      <w:r>
        <w:fldChar w:fldCharType="separate"/>
      </w:r>
      <w:r>
        <w:rPr>
          <w:rStyle w:val="40"/>
          <w:rFonts w:ascii="Times New Roman" w:hAnsi="Times New Roman" w:cs="Times New Roman"/>
          <w:color w:val="auto"/>
          <w:szCs w:val="24"/>
        </w:rPr>
        <w:t>二、生态保护修复目标与措施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_Toc130937638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"_Toc130937639" </w:instrText>
      </w:r>
      <w:r>
        <w:fldChar w:fldCharType="separate"/>
      </w:r>
      <w:r>
        <w:rPr>
          <w:rStyle w:val="40"/>
          <w:rFonts w:ascii="Times New Roman" w:hAnsi="Times New Roman" w:cs="Times New Roman"/>
          <w:color w:val="auto"/>
          <w:szCs w:val="24"/>
        </w:rPr>
        <w:t>三、生态保护修复工程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_Toc130937639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"_Toc130937640" </w:instrText>
      </w:r>
      <w:r>
        <w:fldChar w:fldCharType="separate"/>
      </w:r>
      <w:r>
        <w:rPr>
          <w:rStyle w:val="40"/>
          <w:rFonts w:ascii="Times New Roman" w:hAnsi="Times New Roman" w:cs="Times New Roman"/>
          <w:color w:val="auto"/>
          <w:szCs w:val="24"/>
        </w:rPr>
        <w:t>四、生态保护修复工程进度安排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_Toc130937640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"_Toc130937641" </w:instrText>
      </w:r>
      <w:r>
        <w:fldChar w:fldCharType="separate"/>
      </w:r>
      <w:r>
        <w:rPr>
          <w:rStyle w:val="40"/>
          <w:rFonts w:ascii="Times New Roman" w:hAnsi="Times New Roman" w:cs="Times New Roman"/>
          <w:color w:val="auto"/>
          <w:szCs w:val="24"/>
        </w:rPr>
        <w:t>第五章  经费估算与基金管理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_Toc130937641 \h </w:instrText>
      </w:r>
      <w:r>
        <w:rPr>
          <w:rFonts w:ascii="Times New Roman" w:hAnsi="Times New Roman"/>
          <w:sz w:val="24"/>
          <w:szCs w:val="24"/>
        </w:rPr>
        <w:fldChar w:fldCharType="separate"/>
      </w:r>
      <w:r>
        <w:rPr>
          <w:rFonts w:ascii="Times New Roman" w:hAnsi="Times New Roman"/>
          <w:sz w:val="24"/>
          <w:szCs w:val="24"/>
        </w:rPr>
        <w:t>61</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"_Toc130937642" </w:instrText>
      </w:r>
      <w:r>
        <w:fldChar w:fldCharType="separate"/>
      </w:r>
      <w:r>
        <w:rPr>
          <w:rStyle w:val="40"/>
          <w:rFonts w:ascii="Times New Roman" w:hAnsi="Times New Roman" w:cs="Times New Roman"/>
          <w:color w:val="auto"/>
          <w:szCs w:val="24"/>
        </w:rPr>
        <w:t>一、经费估算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_Toc130937642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"_Toc130937643" </w:instrText>
      </w:r>
      <w:r>
        <w:fldChar w:fldCharType="separate"/>
      </w:r>
      <w:r>
        <w:rPr>
          <w:rStyle w:val="40"/>
          <w:rFonts w:ascii="Times New Roman" w:hAnsi="Times New Roman" w:cs="Times New Roman"/>
          <w:color w:val="auto"/>
          <w:szCs w:val="24"/>
        </w:rPr>
        <w:t>二、基金管理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_Toc130937643 \h </w:instrText>
      </w:r>
      <w:r>
        <w:rPr>
          <w:rFonts w:ascii="Times New Roman" w:hAnsi="Times New Roman"/>
        </w:rPr>
        <w:fldChar w:fldCharType="separate"/>
      </w:r>
      <w:r>
        <w:rPr>
          <w:rFonts w:ascii="Times New Roman" w:hAnsi="Times New Roman"/>
        </w:rPr>
        <w:t>76</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"_Toc130937644" </w:instrText>
      </w:r>
      <w:r>
        <w:fldChar w:fldCharType="separate"/>
      </w:r>
      <w:r>
        <w:rPr>
          <w:rStyle w:val="40"/>
          <w:rFonts w:ascii="Times New Roman" w:hAnsi="Times New Roman" w:cs="Times New Roman"/>
          <w:color w:val="auto"/>
          <w:szCs w:val="24"/>
        </w:rPr>
        <w:t>第六章  保障措施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_Toc130937644 \h </w:instrText>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"_Toc130937645" </w:instrText>
      </w:r>
      <w:r>
        <w:fldChar w:fldCharType="separate"/>
      </w:r>
      <w:r>
        <w:rPr>
          <w:rStyle w:val="40"/>
          <w:rFonts w:ascii="Times New Roman" w:hAnsi="Times New Roman" w:cs="Times New Roman"/>
          <w:color w:val="auto"/>
          <w:szCs w:val="24"/>
        </w:rPr>
        <w:t>一、组织管理保障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_Toc130937645 \h </w:instrText>
      </w:r>
      <w:r>
        <w:rPr>
          <w:rFonts w:ascii="Times New Roman" w:hAnsi="Times New Roman"/>
        </w:rPr>
        <w:fldChar w:fldCharType="separate"/>
      </w:r>
      <w:r>
        <w:rPr>
          <w:rFonts w:ascii="Times New Roman" w:hAnsi="Times New Roman"/>
        </w:rPr>
        <w:t>78</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"_Toc130937646" </w:instrText>
      </w:r>
      <w:r>
        <w:fldChar w:fldCharType="separate"/>
      </w:r>
      <w:r>
        <w:rPr>
          <w:rStyle w:val="40"/>
          <w:rFonts w:ascii="Times New Roman" w:hAnsi="Times New Roman" w:cs="Times New Roman"/>
          <w:color w:val="auto"/>
          <w:szCs w:val="24"/>
        </w:rPr>
        <w:t>二、技术保障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_Toc130937646 \h </w:instrText>
      </w:r>
      <w:r>
        <w:rPr>
          <w:rFonts w:ascii="Times New Roman" w:hAnsi="Times New Roman"/>
        </w:rPr>
        <w:fldChar w:fldCharType="separate"/>
      </w:r>
      <w:r>
        <w:rPr>
          <w:rFonts w:ascii="Times New Roman" w:hAnsi="Times New Roman"/>
        </w:rPr>
        <w:t>78</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"_Toc130937647" </w:instrText>
      </w:r>
      <w:r>
        <w:fldChar w:fldCharType="separate"/>
      </w:r>
      <w:r>
        <w:rPr>
          <w:rStyle w:val="40"/>
          <w:rFonts w:ascii="Times New Roman" w:hAnsi="Times New Roman" w:cs="Times New Roman"/>
          <w:color w:val="auto"/>
          <w:szCs w:val="24"/>
        </w:rPr>
        <w:t>三、监管保障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_Toc130937647 \h </w:instrText>
      </w:r>
      <w:r>
        <w:rPr>
          <w:rFonts w:ascii="Times New Roman" w:hAnsi="Times New Roman"/>
        </w:rPr>
        <w:fldChar w:fldCharType="separate"/>
      </w:r>
      <w:r>
        <w:rPr>
          <w:rFonts w:ascii="Times New Roman" w:hAnsi="Times New Roman"/>
        </w:rPr>
        <w:t>78</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"_Toc130937648" </w:instrText>
      </w:r>
      <w:r>
        <w:fldChar w:fldCharType="separate"/>
      </w:r>
      <w:r>
        <w:rPr>
          <w:rStyle w:val="40"/>
          <w:rFonts w:ascii="Times New Roman" w:hAnsi="Times New Roman" w:cs="Times New Roman"/>
          <w:color w:val="auto"/>
          <w:szCs w:val="24"/>
        </w:rPr>
        <w:t>四、适应性管理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_Toc130937648 \h </w:instrText>
      </w:r>
      <w:r>
        <w:rPr>
          <w:rFonts w:ascii="Times New Roman" w:hAnsi="Times New Roman"/>
        </w:rPr>
        <w:fldChar w:fldCharType="separate"/>
      </w:r>
      <w:r>
        <w:rPr>
          <w:rFonts w:ascii="Times New Roman" w:hAnsi="Times New Roman"/>
        </w:rPr>
        <w:t>79</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"_Toc130937649" </w:instrText>
      </w:r>
      <w:r>
        <w:fldChar w:fldCharType="separate"/>
      </w:r>
      <w:r>
        <w:rPr>
          <w:rStyle w:val="40"/>
          <w:rFonts w:ascii="Times New Roman" w:hAnsi="Times New Roman" w:cs="Times New Roman"/>
          <w:color w:val="auto"/>
          <w:szCs w:val="24"/>
        </w:rPr>
        <w:t>五、公众参与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_Toc130937649 \h </w:instrText>
      </w:r>
      <w:r>
        <w:rPr>
          <w:rFonts w:ascii="Times New Roman" w:hAnsi="Times New Roman"/>
        </w:rPr>
        <w:fldChar w:fldCharType="separate"/>
      </w:r>
      <w:r>
        <w:rPr>
          <w:rFonts w:ascii="Times New Roman" w:hAnsi="Times New Roman"/>
        </w:rPr>
        <w:t>79</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"_Toc130937650" </w:instrText>
      </w:r>
      <w:r>
        <w:fldChar w:fldCharType="separate"/>
      </w:r>
      <w:r>
        <w:rPr>
          <w:rStyle w:val="40"/>
          <w:rFonts w:ascii="Times New Roman" w:hAnsi="Times New Roman" w:cs="Times New Roman"/>
          <w:color w:val="auto"/>
          <w:szCs w:val="24"/>
        </w:rPr>
        <w:t>第七章  矿山生态保护修复方案可行性分析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_Toc130937650 \h </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"_Toc130937651" </w:instrText>
      </w:r>
      <w:r>
        <w:fldChar w:fldCharType="separate"/>
      </w:r>
      <w:r>
        <w:rPr>
          <w:rStyle w:val="40"/>
          <w:rFonts w:ascii="Times New Roman" w:hAnsi="Times New Roman" w:cs="Times New Roman"/>
          <w:color w:val="auto"/>
          <w:szCs w:val="24"/>
        </w:rPr>
        <w:t>一、经济可行性分析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_Toc130937651 \h </w:instrText>
      </w:r>
      <w:r>
        <w:rPr>
          <w:rFonts w:ascii="Times New Roman" w:hAnsi="Times New Roman"/>
        </w:rPr>
        <w:fldChar w:fldCharType="separate"/>
      </w:r>
      <w:r>
        <w:rPr>
          <w:rFonts w:ascii="Times New Roman" w:hAnsi="Times New Roman"/>
        </w:rPr>
        <w:t>80</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"_Toc130937652" </w:instrText>
      </w:r>
      <w:r>
        <w:fldChar w:fldCharType="separate"/>
      </w:r>
      <w:r>
        <w:rPr>
          <w:rStyle w:val="40"/>
          <w:rFonts w:ascii="Times New Roman" w:hAnsi="Times New Roman" w:cs="Times New Roman"/>
          <w:color w:val="auto"/>
          <w:szCs w:val="24"/>
        </w:rPr>
        <w:t>二、技术可行性分析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_Toc130937652 \h </w:instrText>
      </w:r>
      <w:r>
        <w:rPr>
          <w:rFonts w:ascii="Times New Roman" w:hAnsi="Times New Roman"/>
        </w:rPr>
        <w:fldChar w:fldCharType="separate"/>
      </w:r>
      <w:r>
        <w:rPr>
          <w:rFonts w:ascii="Times New Roman" w:hAnsi="Times New Roman"/>
        </w:rPr>
        <w:t>81</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"_Toc130937653" </w:instrText>
      </w:r>
      <w:r>
        <w:fldChar w:fldCharType="separate"/>
      </w:r>
      <w:r>
        <w:rPr>
          <w:rStyle w:val="40"/>
          <w:rFonts w:ascii="Times New Roman" w:hAnsi="Times New Roman" w:cs="Times New Roman"/>
          <w:color w:val="auto"/>
          <w:szCs w:val="24"/>
        </w:rPr>
        <w:t>三、生态环境可行性分析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_Toc130937653 \h </w:instrText>
      </w:r>
      <w:r>
        <w:rPr>
          <w:rFonts w:ascii="Times New Roman" w:hAnsi="Times New Roman"/>
        </w:rPr>
        <w:fldChar w:fldCharType="separate"/>
      </w:r>
      <w:r>
        <w:rPr>
          <w:rFonts w:ascii="Times New Roman" w:hAnsi="Times New Roman"/>
        </w:rPr>
        <w:t>82</w:t>
      </w:r>
      <w:r>
        <w:rPr>
          <w:rFonts w:ascii="Times New Roman" w:hAnsi="Times New Roman"/>
        </w:rPr>
        <w:fldChar w:fldCharType="end"/>
      </w:r>
      <w:r>
        <w:rPr>
          <w:rFonts w:ascii="Times New Roman" w:hAnsi="Times New Roman"/>
        </w:rPr>
        <w:fldChar w:fldCharType="end"/>
      </w:r>
    </w:p>
    <w:p>
      <w:pPr>
        <w:pStyle w:val="21"/>
        <w:tabs>
          <w:tab w:val="right" w:leader="dot" w:pos="8664"/>
        </w:tabs>
        <w:spacing w:line="360" w:lineRule="auto"/>
        <w:rPr>
          <w:rFonts w:ascii="Times New Roman" w:hAnsi="Times New Roman"/>
          <w:b w:val="0"/>
          <w:bCs w:val="0"/>
          <w:sz w:val="24"/>
          <w:szCs w:val="24"/>
        </w:rPr>
      </w:pPr>
      <w:r>
        <w:fldChar w:fldCharType="begin"/>
      </w:r>
      <w:r>
        <w:instrText xml:space="preserve"> HYPERLINK \l "_Toc130937654" </w:instrText>
      </w:r>
      <w:r>
        <w:fldChar w:fldCharType="separate"/>
      </w:r>
      <w:r>
        <w:rPr>
          <w:rStyle w:val="40"/>
          <w:rFonts w:ascii="Times New Roman" w:hAnsi="Times New Roman" w:cs="Times New Roman"/>
          <w:color w:val="auto"/>
          <w:szCs w:val="24"/>
        </w:rPr>
        <w:t>第八章   结论与建议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_Toc130937654 \h </w:instrText>
      </w:r>
      <w:r>
        <w:rPr>
          <w:rFonts w:ascii="Times New Roman" w:hAnsi="Times New Roman"/>
          <w:sz w:val="24"/>
          <w:szCs w:val="24"/>
        </w:rPr>
        <w:fldChar w:fldCharType="separate"/>
      </w:r>
      <w:r>
        <w:rPr>
          <w:rFonts w:ascii="Times New Roman" w:hAnsi="Times New Roman"/>
          <w:sz w:val="24"/>
          <w:szCs w:val="24"/>
        </w:rPr>
        <w:t>83</w:t>
      </w:r>
      <w:r>
        <w:rPr>
          <w:rFonts w:ascii="Times New Roman" w:hAnsi="Times New Roman"/>
          <w:sz w:val="24"/>
          <w:szCs w:val="24"/>
        </w:rPr>
        <w:fldChar w:fldCharType="end"/>
      </w:r>
      <w:r>
        <w:rPr>
          <w:rFonts w:ascii="Times New Roman" w:hAnsi="Times New Roman"/>
          <w:sz w:val="24"/>
          <w:szCs w:val="24"/>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"_Toc130937655" </w:instrText>
      </w:r>
      <w:r>
        <w:fldChar w:fldCharType="separate"/>
      </w:r>
      <w:r>
        <w:rPr>
          <w:rStyle w:val="40"/>
          <w:rFonts w:ascii="Times New Roman" w:hAnsi="Times New Roman" w:cs="Times New Roman"/>
          <w:color w:val="auto"/>
          <w:szCs w:val="24"/>
        </w:rPr>
        <w:t>一、结论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_Toc130937655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pPr>
        <w:pStyle w:val="26"/>
        <w:tabs>
          <w:tab w:val="right" w:leader="dot" w:pos="8664"/>
        </w:tabs>
        <w:spacing w:line="360" w:lineRule="auto"/>
        <w:ind w:firstLine="480"/>
        <w:rPr>
          <w:rFonts w:ascii="Times New Roman" w:hAnsi="Times New Roman"/>
        </w:rPr>
      </w:pPr>
      <w:r>
        <w:fldChar w:fldCharType="begin"/>
      </w:r>
      <w:r>
        <w:instrText xml:space="preserve"> HYPERLINK \l "_Toc130937656" </w:instrText>
      </w:r>
      <w:r>
        <w:fldChar w:fldCharType="separate"/>
      </w:r>
      <w:r>
        <w:rPr>
          <w:rStyle w:val="40"/>
          <w:rFonts w:ascii="Times New Roman" w:hAnsi="Times New Roman" w:cs="Times New Roman"/>
          <w:color w:val="auto"/>
          <w:szCs w:val="24"/>
        </w:rPr>
        <w:t>二、建议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_Toc130937656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pPr>
        <w:jc w:val="center"/>
        <w:rPr>
          <w:sz w:val="28"/>
          <w:szCs w:val="28"/>
        </w:rPr>
      </w:pPr>
      <w:r>
        <w:rPr>
          <w:smallCaps/>
          <w:sz w:val="24"/>
        </w:rPr>
        <w:fldChar w:fldCharType="end"/>
      </w:r>
      <w:r>
        <w:rPr>
          <w:sz w:val="28"/>
          <w:szCs w:val="28"/>
        </w:rPr>
        <w:t>附  表</w:t>
      </w:r>
    </w:p>
    <w:p>
      <w:pPr>
        <w:jc w:val="left"/>
        <w:rPr>
          <w:sz w:val="24"/>
        </w:rPr>
      </w:pPr>
      <w:r>
        <w:rPr>
          <w:sz w:val="24"/>
        </w:rPr>
        <w:t>1、矿山生态问题调查表</w:t>
      </w:r>
    </w:p>
    <w:p>
      <w:pPr>
        <w:jc w:val="left"/>
        <w:rPr>
          <w:sz w:val="24"/>
        </w:rPr>
      </w:pPr>
      <w:r>
        <w:rPr>
          <w:sz w:val="24"/>
        </w:rPr>
        <w:t>2、矿山生态保护修复现状及效果一览表</w:t>
      </w:r>
    </w:p>
    <w:p>
      <w:pPr>
        <w:jc w:val="left"/>
        <w:rPr>
          <w:sz w:val="24"/>
        </w:rPr>
      </w:pPr>
      <w:r>
        <w:rPr>
          <w:sz w:val="24"/>
        </w:rPr>
        <w:t>3、矿山生态保护修复方案公众意见征求表</w:t>
      </w:r>
    </w:p>
    <w:p>
      <w:pPr>
        <w:jc w:val="center"/>
        <w:rPr>
          <w:sz w:val="28"/>
          <w:szCs w:val="28"/>
        </w:rPr>
      </w:pPr>
      <w:r>
        <w:rPr>
          <w:sz w:val="28"/>
          <w:szCs w:val="28"/>
        </w:rPr>
        <w:t>附  件</w:t>
      </w:r>
    </w:p>
    <w:p>
      <w:pPr>
        <w:jc w:val="left"/>
        <w:rPr>
          <w:sz w:val="24"/>
        </w:rPr>
      </w:pPr>
      <w:r>
        <w:rPr>
          <w:sz w:val="24"/>
        </w:rPr>
        <w:t>1、野外调查照片集</w:t>
      </w:r>
    </w:p>
    <w:p>
      <w:pPr>
        <w:jc w:val="left"/>
        <w:rPr>
          <w:sz w:val="24"/>
        </w:rPr>
      </w:pPr>
      <w:r>
        <w:rPr>
          <w:sz w:val="24"/>
        </w:rPr>
        <w:t>2、水质检测报告</w:t>
      </w:r>
    </w:p>
    <w:p>
      <w:pPr>
        <w:jc w:val="left"/>
        <w:rPr>
          <w:sz w:val="24"/>
        </w:rPr>
      </w:pPr>
      <w:r>
        <w:rPr>
          <w:sz w:val="24"/>
        </w:rPr>
        <w:t>3、采矿许可证副本复印件</w:t>
      </w:r>
    </w:p>
    <w:p>
      <w:pPr>
        <w:jc w:val="left"/>
        <w:rPr>
          <w:sz w:val="24"/>
        </w:rPr>
      </w:pPr>
      <w:r>
        <w:rPr>
          <w:sz w:val="24"/>
        </w:rPr>
        <w:t>4、矿山矿产储量评审意见及备案文件</w:t>
      </w:r>
    </w:p>
    <w:p>
      <w:pPr>
        <w:jc w:val="left"/>
        <w:rPr>
          <w:sz w:val="24"/>
        </w:rPr>
      </w:pPr>
      <w:r>
        <w:rPr>
          <w:sz w:val="24"/>
        </w:rPr>
        <w:t>5、矿产资源开发利用方案评审意见</w:t>
      </w:r>
    </w:p>
    <w:p>
      <w:pPr>
        <w:jc w:val="left"/>
        <w:rPr>
          <w:sz w:val="24"/>
        </w:rPr>
      </w:pPr>
      <w:r>
        <w:rPr>
          <w:sz w:val="24"/>
        </w:rPr>
        <w:t>6、编制单位承诺书</w:t>
      </w:r>
    </w:p>
    <w:p>
      <w:pPr>
        <w:jc w:val="left"/>
        <w:rPr>
          <w:sz w:val="24"/>
        </w:rPr>
      </w:pPr>
      <w:r>
        <w:rPr>
          <w:sz w:val="24"/>
        </w:rPr>
        <w:t>7、矿山企业承诺书</w:t>
      </w:r>
    </w:p>
    <w:p>
      <w:pPr>
        <w:jc w:val="left"/>
        <w:rPr>
          <w:sz w:val="24"/>
        </w:rPr>
      </w:pPr>
      <w:r>
        <w:rPr>
          <w:sz w:val="24"/>
        </w:rPr>
        <w:t>8、县（市、区）自然资源局实地核查意见书</w:t>
      </w:r>
    </w:p>
    <w:p>
      <w:pPr>
        <w:jc w:val="left"/>
        <w:rPr>
          <w:sz w:val="24"/>
        </w:rPr>
      </w:pPr>
      <w:r>
        <w:rPr>
          <w:sz w:val="24"/>
        </w:rPr>
        <w:t>9、内审意见书</w:t>
      </w:r>
    </w:p>
    <w:p>
      <w:pPr>
        <w:jc w:val="left"/>
        <w:rPr>
          <w:sz w:val="24"/>
        </w:rPr>
      </w:pPr>
      <w:r>
        <w:rPr>
          <w:sz w:val="24"/>
        </w:rPr>
        <w:t>10、县级初审专家意见书</w:t>
      </w:r>
    </w:p>
    <w:p>
      <w:pPr>
        <w:jc w:val="left"/>
        <w:rPr>
          <w:sz w:val="24"/>
        </w:rPr>
      </w:pPr>
      <w:r>
        <w:rPr>
          <w:sz w:val="24"/>
        </w:rPr>
        <w:t>11、国有建设用地出让合同</w:t>
      </w:r>
    </w:p>
    <w:p>
      <w:pPr>
        <w:ind w:left="7560" w:hanging="7560"/>
        <w:jc w:val="left"/>
        <w:rPr>
          <w:sz w:val="24"/>
        </w:rPr>
      </w:pPr>
      <w:r>
        <w:rPr>
          <w:sz w:val="24"/>
        </w:rPr>
        <w:t>12、国有建设用地出让审查意见书</w:t>
      </w:r>
    </w:p>
    <w:p>
      <w:pPr>
        <w:pStyle w:val="2"/>
        <w:spacing w:after="0"/>
        <w:jc w:val="left"/>
      </w:pPr>
      <w:r>
        <w:rPr>
          <w:rFonts w:hint="eastAsia"/>
        </w:rPr>
        <w:t>13</w:t>
      </w:r>
      <w:r>
        <w:rPr>
          <w:sz w:val="24"/>
        </w:rPr>
        <w:t>、</w:t>
      </w:r>
      <w:r>
        <w:rPr>
          <w:rFonts w:hint="eastAsia"/>
          <w:sz w:val="24"/>
        </w:rPr>
        <w:t>修改对照表</w:t>
      </w:r>
    </w:p>
    <w:p>
      <w:pPr>
        <w:jc w:val="center"/>
        <w:rPr>
          <w:sz w:val="28"/>
          <w:szCs w:val="28"/>
        </w:rPr>
      </w:pPr>
    </w:p>
    <w:p>
      <w:pPr>
        <w:jc w:val="center"/>
        <w:rPr>
          <w:sz w:val="28"/>
          <w:szCs w:val="28"/>
        </w:rPr>
      </w:pPr>
      <w:r>
        <w:rPr>
          <w:sz w:val="28"/>
          <w:szCs w:val="28"/>
        </w:rPr>
        <w:t>附  图</w:t>
      </w:r>
    </w:p>
    <w:tbl>
      <w:tblPr>
        <w:tblStyle w:val="3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9" w:type="dxa"/>
          </w:tcPr>
          <w:p>
            <w:pPr>
              <w:spacing w:line="360" w:lineRule="auto"/>
              <w:jc w:val="center"/>
              <w:rPr>
                <w:szCs w:val="21"/>
              </w:rPr>
            </w:pPr>
            <w:r>
              <w:rPr>
                <w:szCs w:val="21"/>
              </w:rPr>
              <w:t>图号</w:t>
            </w:r>
          </w:p>
        </w:tc>
        <w:tc>
          <w:tcPr>
            <w:tcW w:w="7088" w:type="dxa"/>
          </w:tcPr>
          <w:p>
            <w:pPr>
              <w:spacing w:line="360" w:lineRule="auto"/>
              <w:jc w:val="center"/>
              <w:rPr>
                <w:szCs w:val="21"/>
              </w:rPr>
            </w:pPr>
            <w:r>
              <w:rPr>
                <w:szCs w:val="21"/>
              </w:rPr>
              <w:t>图  名</w:t>
            </w:r>
          </w:p>
        </w:tc>
        <w:tc>
          <w:tcPr>
            <w:tcW w:w="1134" w:type="dxa"/>
          </w:tcPr>
          <w:p>
            <w:pPr>
              <w:spacing w:line="360" w:lineRule="auto"/>
              <w:jc w:val="center"/>
              <w:rPr>
                <w:szCs w:val="21"/>
              </w:rPr>
            </w:pPr>
            <w:r>
              <w:rPr>
                <w:szCs w:val="21"/>
              </w:rPr>
              <w:t>比例尺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9" w:type="dxa"/>
            <w:vAlign w:val="center"/>
          </w:tcPr>
          <w:p>
            <w:pPr>
              <w:jc w:val="center"/>
              <w:rPr>
                <w:szCs w:val="21"/>
              </w:rPr>
            </w:pPr>
            <w:r>
              <w:rPr>
                <w:szCs w:val="21"/>
              </w:rPr>
              <w:t>1</w:t>
            </w:r>
          </w:p>
        </w:tc>
        <w:tc>
          <w:tcPr>
            <w:tcW w:w="7088" w:type="dxa"/>
            <w:vAlign w:val="center"/>
          </w:tcPr>
          <w:p>
            <w:pPr>
              <w:rPr>
                <w:szCs w:val="21"/>
              </w:rPr>
            </w:pPr>
            <w:r>
              <w:rPr>
                <w:szCs w:val="21"/>
              </w:rPr>
              <w:t>湖南省桃江县浮邱山矿区沙田湾花岗岩矿矿山遥感影像图</w:t>
            </w:r>
          </w:p>
        </w:tc>
        <w:tc>
          <w:tcPr>
            <w:tcW w:w="1134" w:type="dxa"/>
            <w:vAlign w:val="center"/>
          </w:tcPr>
          <w:p>
            <w:pPr>
              <w:jc w:val="center"/>
              <w:rPr>
                <w:szCs w:val="21"/>
              </w:rPr>
            </w:pPr>
            <w:r>
              <w:rPr>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9" w:type="dxa"/>
            <w:vAlign w:val="center"/>
          </w:tcPr>
          <w:p>
            <w:pPr>
              <w:jc w:val="center"/>
              <w:rPr>
                <w:szCs w:val="21"/>
              </w:rPr>
            </w:pPr>
            <w:r>
              <w:rPr>
                <w:szCs w:val="21"/>
              </w:rPr>
              <w:t>2</w:t>
            </w:r>
          </w:p>
        </w:tc>
        <w:tc>
          <w:tcPr>
            <w:tcW w:w="7088" w:type="dxa"/>
            <w:vAlign w:val="center"/>
          </w:tcPr>
          <w:p>
            <w:pPr>
              <w:rPr>
                <w:szCs w:val="21"/>
              </w:rPr>
            </w:pPr>
            <w:r>
              <w:rPr>
                <w:szCs w:val="21"/>
              </w:rPr>
              <w:t>湖南省桃江县浮邱山矿区沙田湾花岗岩矿矿山生态问题分布图</w:t>
            </w:r>
          </w:p>
        </w:tc>
        <w:tc>
          <w:tcPr>
            <w:tcW w:w="1134" w:type="dxa"/>
            <w:vAlign w:val="center"/>
          </w:tcPr>
          <w:p>
            <w:pPr>
              <w:jc w:val="center"/>
              <w:rPr>
                <w:szCs w:val="21"/>
              </w:rPr>
            </w:pPr>
            <w:r>
              <w:rPr>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9" w:type="dxa"/>
            <w:vAlign w:val="center"/>
          </w:tcPr>
          <w:p>
            <w:pPr>
              <w:jc w:val="center"/>
              <w:rPr>
                <w:szCs w:val="21"/>
              </w:rPr>
            </w:pPr>
            <w:r>
              <w:rPr>
                <w:szCs w:val="21"/>
              </w:rPr>
              <w:t>3</w:t>
            </w:r>
          </w:p>
        </w:tc>
        <w:tc>
          <w:tcPr>
            <w:tcW w:w="7088" w:type="dxa"/>
            <w:vAlign w:val="center"/>
          </w:tcPr>
          <w:p>
            <w:pPr>
              <w:rPr>
                <w:szCs w:val="21"/>
              </w:rPr>
            </w:pPr>
            <w:r>
              <w:rPr>
                <w:szCs w:val="21"/>
              </w:rPr>
              <w:t>湖南省桃江县浮邱山矿区沙田湾花岗岩矿</w:t>
            </w:r>
            <w:r>
              <w:rPr>
                <w:spacing w:val="-10"/>
                <w:szCs w:val="21"/>
              </w:rPr>
              <w:t>矿山生态保护修复工程部署图</w:t>
            </w:r>
          </w:p>
        </w:tc>
        <w:tc>
          <w:tcPr>
            <w:tcW w:w="1134" w:type="dxa"/>
            <w:vAlign w:val="center"/>
          </w:tcPr>
          <w:p>
            <w:pPr>
              <w:jc w:val="center"/>
              <w:rPr>
                <w:szCs w:val="21"/>
              </w:rPr>
            </w:pPr>
            <w:r>
              <w:rPr>
                <w:szCs w:val="21"/>
              </w:rPr>
              <w:t>1:</w:t>
            </w:r>
            <w:r>
              <w:rPr>
                <w:rFonts w:hint="eastAsia"/>
                <w:szCs w:val="21"/>
              </w:rPr>
              <w:t>2</w:t>
            </w:r>
            <w:r>
              <w:rPr>
                <w:szCs w:val="21"/>
              </w:rPr>
              <w:t>000</w:t>
            </w:r>
          </w:p>
        </w:tc>
      </w:tr>
    </w:tbl>
    <w:p>
      <w:pPr>
        <w:spacing w:line="360" w:lineRule="auto"/>
        <w:ind w:left="7469" w:hanging="7469" w:hangingChars="3100"/>
        <w:rPr>
          <w:rFonts w:eastAsia="仿宋_GB2312"/>
          <w:b/>
          <w:sz w:val="24"/>
        </w:rPr>
        <w:sectPr>
          <w:footerReference r:id="rId7" w:type="default"/>
          <w:pgSz w:w="11906" w:h="16838"/>
          <w:pgMar w:top="1270" w:right="1616" w:bottom="1270" w:left="1616" w:header="851" w:footer="992" w:gutter="0"/>
          <w:cols w:space="720" w:num="1"/>
          <w:docGrid w:type="lines" w:linePitch="312" w:charSpace="0"/>
        </w:sectPr>
      </w:pPr>
    </w:p>
    <w:p>
      <w:pPr>
        <w:pStyle w:val="3"/>
        <w:spacing w:before="0" w:after="0" w:line="360" w:lineRule="auto"/>
        <w:jc w:val="center"/>
        <w:rPr>
          <w:b w:val="0"/>
          <w:bCs w:val="0"/>
          <w:sz w:val="32"/>
          <w:szCs w:val="32"/>
        </w:rPr>
      </w:pPr>
      <w:bookmarkStart w:id="0" w:name="_Toc436833700"/>
      <w:bookmarkStart w:id="1" w:name="_Toc193335443"/>
      <w:bookmarkStart w:id="2" w:name="_Toc130937621"/>
      <w:r>
        <w:rPr>
          <w:b w:val="0"/>
          <w:bCs w:val="0"/>
          <w:sz w:val="32"/>
          <w:szCs w:val="32"/>
        </w:rPr>
        <w:t xml:space="preserve">第一章  </w:t>
      </w:r>
      <w:bookmarkEnd w:id="0"/>
      <w:bookmarkEnd w:id="1"/>
      <w:r>
        <w:rPr>
          <w:b w:val="0"/>
          <w:bCs w:val="0"/>
          <w:sz w:val="32"/>
          <w:szCs w:val="32"/>
        </w:rPr>
        <w:t>基本情况</w:t>
      </w:r>
      <w:bookmarkEnd w:id="2"/>
    </w:p>
    <w:p>
      <w:pPr>
        <w:pStyle w:val="4"/>
        <w:spacing w:before="120" w:after="120" w:line="400" w:lineRule="exact"/>
        <w:jc w:val="left"/>
        <w:rPr>
          <w:rFonts w:ascii="Times New Roman" w:hAnsi="Times New Roman" w:eastAsia="宋体"/>
          <w:b w:val="0"/>
          <w:bCs w:val="0"/>
          <w:sz w:val="28"/>
        </w:rPr>
      </w:pPr>
      <w:bookmarkStart w:id="3" w:name="_Toc18668"/>
      <w:bookmarkStart w:id="4" w:name="_Toc26657"/>
      <w:bookmarkStart w:id="5" w:name="_Toc11526"/>
      <w:bookmarkStart w:id="6" w:name="_Toc1321"/>
      <w:bookmarkStart w:id="7" w:name="_Toc130937622"/>
      <w:r>
        <w:rPr>
          <w:rFonts w:ascii="Times New Roman" w:hAnsi="Times New Roman" w:eastAsia="宋体"/>
          <w:b w:val="0"/>
          <w:bCs w:val="0"/>
          <w:sz w:val="28"/>
        </w:rPr>
        <w:t>一、</w:t>
      </w:r>
      <w:bookmarkEnd w:id="3"/>
      <w:bookmarkEnd w:id="4"/>
      <w:bookmarkEnd w:id="5"/>
      <w:bookmarkEnd w:id="6"/>
      <w:r>
        <w:rPr>
          <w:rFonts w:ascii="Times New Roman" w:hAnsi="Times New Roman" w:eastAsia="宋体"/>
          <w:b w:val="0"/>
          <w:bCs w:val="0"/>
          <w:sz w:val="28"/>
        </w:rPr>
        <w:t>方案编制概况</w:t>
      </w:r>
      <w:bookmarkEnd w:id="7"/>
    </w:p>
    <w:p>
      <w:pPr>
        <w:pStyle w:val="5"/>
        <w:tabs>
          <w:tab w:val="left" w:pos="4869"/>
        </w:tabs>
        <w:spacing w:before="120" w:after="120" w:line="400" w:lineRule="exact"/>
        <w:jc w:val="left"/>
        <w:rPr>
          <w:b w:val="0"/>
          <w:bCs w:val="0"/>
          <w:sz w:val="24"/>
        </w:rPr>
      </w:pPr>
      <w:r>
        <w:rPr>
          <w:b w:val="0"/>
          <w:bCs w:val="0"/>
          <w:sz w:val="24"/>
        </w:rPr>
        <w:t>（一）任务由来</w:t>
      </w:r>
    </w:p>
    <w:p>
      <w:pPr>
        <w:spacing w:line="440" w:lineRule="exact"/>
        <w:ind w:firstLine="480" w:firstLineChars="200"/>
        <w:rPr>
          <w:sz w:val="24"/>
        </w:rPr>
      </w:pPr>
      <w:r>
        <w:rPr>
          <w:sz w:val="24"/>
          <w:lang w:val="zh-CN"/>
        </w:rPr>
        <w:t>为办理采矿许可证</w:t>
      </w:r>
      <w:r>
        <w:rPr>
          <w:sz w:val="24"/>
        </w:rPr>
        <w:t>延续</w:t>
      </w:r>
      <w:r>
        <w:rPr>
          <w:sz w:val="24"/>
          <w:lang w:val="zh-CN"/>
        </w:rPr>
        <w:t>登记手续，合理利用矿产资源、有效保护矿山生态环境。根据湖南省自然资源厅办公室《关于进一步加强新建和生产矿山生态保护修复工作的通知》</w:t>
      </w:r>
      <w:r>
        <w:rPr>
          <w:sz w:val="24"/>
        </w:rPr>
        <w:t>{</w:t>
      </w:r>
      <w:r>
        <w:rPr>
          <w:sz w:val="24"/>
          <w:lang w:val="zh-CN"/>
        </w:rPr>
        <w:t>湘自资办发〔2021〕39号文</w:t>
      </w:r>
      <w:r>
        <w:rPr>
          <w:sz w:val="24"/>
        </w:rPr>
        <w:t>}</w:t>
      </w:r>
      <w:r>
        <w:rPr>
          <w:sz w:val="24"/>
          <w:lang w:val="zh-CN"/>
        </w:rPr>
        <w:t>要求，桃江县金桥石业有限公司委托</w:t>
      </w:r>
      <w:r>
        <w:rPr>
          <w:sz w:val="24"/>
        </w:rPr>
        <w:t>湖南省城市地质调查监测所（</w:t>
      </w:r>
      <w:r>
        <w:rPr>
          <w:sz w:val="24"/>
          <w:lang w:val="zh-CN"/>
        </w:rPr>
        <w:t>以下简称我单位</w:t>
      </w:r>
      <w:r>
        <w:rPr>
          <w:sz w:val="24"/>
        </w:rPr>
        <w:t>）</w:t>
      </w:r>
      <w:r>
        <w:rPr>
          <w:sz w:val="24"/>
          <w:lang w:val="zh-CN"/>
        </w:rPr>
        <w:t>对矿区生态环境背景、生态问题现状等进行了调查，编制了《湖南省桃江县浮邱山矿区沙田湾花岗岩矿生态保护修复方案》（以下简称“方案”）。我单位接受委托任务后，按照湖南省最新《矿山生态保护修复方案编制规范（</w:t>
      </w:r>
      <w:r>
        <w:rPr>
          <w:sz w:val="24"/>
        </w:rPr>
        <w:t>DB43/T2298-2022</w:t>
      </w:r>
      <w:r>
        <w:rPr>
          <w:sz w:val="24"/>
          <w:lang w:val="zh-CN"/>
        </w:rPr>
        <w:t>）》的相关要求进行编制工作。</w:t>
      </w:r>
    </w:p>
    <w:p>
      <w:pPr>
        <w:pStyle w:val="5"/>
        <w:tabs>
          <w:tab w:val="left" w:pos="4869"/>
        </w:tabs>
        <w:spacing w:before="120" w:after="120" w:line="400" w:lineRule="exact"/>
        <w:jc w:val="left"/>
        <w:rPr>
          <w:b w:val="0"/>
          <w:bCs w:val="0"/>
          <w:sz w:val="24"/>
        </w:rPr>
      </w:pPr>
      <w:r>
        <w:rPr>
          <w:b w:val="0"/>
          <w:bCs w:val="0"/>
          <w:sz w:val="24"/>
        </w:rPr>
        <w:t>（二）目的任务</w:t>
      </w:r>
    </w:p>
    <w:p>
      <w:pPr>
        <w:spacing w:line="440" w:lineRule="exact"/>
        <w:ind w:firstLine="480"/>
        <w:rPr>
          <w:sz w:val="24"/>
        </w:rPr>
      </w:pPr>
      <w:r>
        <w:rPr>
          <w:sz w:val="24"/>
        </w:rPr>
        <w:t>1、主要目的</w:t>
      </w:r>
    </w:p>
    <w:p>
      <w:pPr>
        <w:spacing w:line="440" w:lineRule="exact"/>
        <w:ind w:firstLine="480" w:firstLineChars="200"/>
        <w:rPr>
          <w:sz w:val="24"/>
        </w:rPr>
      </w:pPr>
      <w:r>
        <w:rPr>
          <w:sz w:val="24"/>
        </w:rPr>
        <w:t>通过对</w:t>
      </w:r>
      <w:r>
        <w:rPr>
          <w:sz w:val="24"/>
          <w:lang w:val="zh-CN"/>
        </w:rPr>
        <w:t>湖南省桃江县浮邱山矿区沙田湾花岗岩矿</w:t>
      </w:r>
      <w:r>
        <w:rPr>
          <w:sz w:val="24"/>
        </w:rPr>
        <w:t>自然环境、生态环境、社会经济环境等调查，制定</w:t>
      </w:r>
      <w:r>
        <w:rPr>
          <w:sz w:val="24"/>
          <w:lang w:val="zh-CN"/>
        </w:rPr>
        <w:t>桃江县金桥石业有限公司</w:t>
      </w:r>
      <w:r>
        <w:rPr>
          <w:sz w:val="24"/>
        </w:rPr>
        <w:t>在建设、开发、闭坑各阶段的矿山生态保护修复方案，实现矿山“边开采、边修复”，落实矿山企业对矿山生态保护境修复义务，为</w:t>
      </w:r>
      <w:r>
        <w:rPr>
          <w:sz w:val="24"/>
          <w:lang w:val="zh-CN"/>
        </w:rPr>
        <w:t>桃江县金桥石业有限公司在</w:t>
      </w:r>
      <w:r>
        <w:rPr>
          <w:sz w:val="24"/>
        </w:rPr>
        <w:t>实施矿山生态保护修复提供技术支撑，并为政府行政主管部门对矿山生态保护修复的有效监督管理提供依据。</w:t>
      </w:r>
    </w:p>
    <w:p>
      <w:pPr>
        <w:spacing w:line="440" w:lineRule="exact"/>
        <w:ind w:firstLine="480" w:firstLineChars="200"/>
        <w:rPr>
          <w:sz w:val="24"/>
        </w:rPr>
      </w:pPr>
      <w:r>
        <w:rPr>
          <w:sz w:val="24"/>
        </w:rPr>
        <w:t>2、主要任务</w:t>
      </w:r>
    </w:p>
    <w:p>
      <w:pPr>
        <w:spacing w:line="440" w:lineRule="exact"/>
        <w:ind w:firstLine="480" w:firstLineChars="200"/>
        <w:rPr>
          <w:sz w:val="24"/>
        </w:rPr>
      </w:pPr>
      <w:r>
        <w:rPr>
          <w:sz w:val="24"/>
        </w:rPr>
        <w:t>（1）收集整理资料，确定矿山生态修复范围，开展矿山生态环境调查，查明矿区生态环境背景（地质环境、土环境、水环境、生物环境、人居环境）。</w:t>
      </w:r>
    </w:p>
    <w:p>
      <w:pPr>
        <w:spacing w:line="440" w:lineRule="exact"/>
        <w:ind w:firstLine="480" w:firstLineChars="200"/>
        <w:rPr>
          <w:sz w:val="24"/>
        </w:rPr>
      </w:pPr>
      <w:r>
        <w:rPr>
          <w:sz w:val="24"/>
        </w:rPr>
        <w:t>（2）开展矿山生态问题现状识别与诊断，根据矿山开采计划，矿山开采期间采矿活动对生态破坏的发展趋势进行定性-定量分析。</w:t>
      </w:r>
    </w:p>
    <w:p>
      <w:pPr>
        <w:spacing w:line="440" w:lineRule="exact"/>
        <w:ind w:firstLine="480" w:firstLineChars="200"/>
        <w:rPr>
          <w:sz w:val="24"/>
        </w:rPr>
      </w:pPr>
      <w:r>
        <w:rPr>
          <w:sz w:val="24"/>
        </w:rPr>
        <w:t>（3）根据矿山生态问题识别与诊断结果，针对矿山开采期间采矿活动对生态破坏、环境污染提出矿山生态保护修复思路与措施。</w:t>
      </w:r>
    </w:p>
    <w:p>
      <w:pPr>
        <w:spacing w:line="440" w:lineRule="exact"/>
        <w:ind w:firstLine="480" w:firstLineChars="200"/>
        <w:rPr>
          <w:sz w:val="24"/>
        </w:rPr>
      </w:pPr>
      <w:r>
        <w:rPr>
          <w:sz w:val="24"/>
        </w:rPr>
        <w:t>（4）针对目前已存在和今后可预测产生的生态环境问题，确定生态保护修复实施内容和进度安排。</w:t>
      </w:r>
    </w:p>
    <w:p>
      <w:pPr>
        <w:spacing w:line="440" w:lineRule="exact"/>
        <w:ind w:firstLine="480" w:firstLineChars="200"/>
        <w:rPr>
          <w:sz w:val="24"/>
        </w:rPr>
      </w:pPr>
      <w:r>
        <w:rPr>
          <w:sz w:val="24"/>
        </w:rPr>
        <w:t>（5）对矿山生态保护修复工程总经费经费进行估算。</w:t>
      </w:r>
    </w:p>
    <w:p>
      <w:pPr>
        <w:spacing w:line="440" w:lineRule="exact"/>
        <w:ind w:firstLine="480" w:firstLineChars="200"/>
        <w:rPr>
          <w:sz w:val="24"/>
        </w:rPr>
      </w:pPr>
      <w:r>
        <w:rPr>
          <w:sz w:val="24"/>
        </w:rPr>
        <w:t>（6）对矿山生态保护修复进行的经济、技术、环境可行性分析，明确矿山开采是否影响矿区局部生态系统的生态功能，制定矿山生态保护修复保障措施，并提出合理建议。</w:t>
      </w:r>
    </w:p>
    <w:p>
      <w:pPr>
        <w:pStyle w:val="5"/>
        <w:spacing w:before="120" w:after="120" w:line="400" w:lineRule="exact"/>
        <w:jc w:val="left"/>
        <w:rPr>
          <w:b w:val="0"/>
          <w:bCs w:val="0"/>
          <w:sz w:val="24"/>
        </w:rPr>
      </w:pPr>
      <w:r>
        <w:rPr>
          <w:b w:val="0"/>
          <w:bCs w:val="0"/>
          <w:sz w:val="24"/>
        </w:rPr>
        <w:t>（三）编制依据</w:t>
      </w:r>
    </w:p>
    <w:p>
      <w:pPr>
        <w:spacing w:line="470" w:lineRule="exact"/>
        <w:ind w:firstLine="480" w:firstLineChars="200"/>
        <w:rPr>
          <w:sz w:val="24"/>
        </w:rPr>
      </w:pPr>
      <w:r>
        <w:rPr>
          <w:sz w:val="24"/>
        </w:rPr>
        <w:t>1、法律法规</w:t>
      </w:r>
    </w:p>
    <w:p>
      <w:pPr>
        <w:spacing w:line="460" w:lineRule="exact"/>
        <w:ind w:firstLine="480" w:firstLineChars="200"/>
        <w:rPr>
          <w:sz w:val="24"/>
        </w:rPr>
      </w:pPr>
      <w:r>
        <w:rPr>
          <w:sz w:val="24"/>
        </w:rPr>
        <w:t>（1）《中华人民共和国环境保护法》主席令9号（2015.1.1）；</w:t>
      </w:r>
    </w:p>
    <w:p>
      <w:pPr>
        <w:spacing w:line="470" w:lineRule="exact"/>
        <w:ind w:firstLine="480" w:firstLineChars="200"/>
        <w:rPr>
          <w:sz w:val="24"/>
        </w:rPr>
      </w:pPr>
      <w:r>
        <w:rPr>
          <w:sz w:val="24"/>
        </w:rPr>
        <w:t xml:space="preserve"> 2、政策文件</w:t>
      </w:r>
    </w:p>
    <w:p>
      <w:pPr>
        <w:spacing w:line="360" w:lineRule="auto"/>
        <w:ind w:firstLine="480" w:firstLineChars="200"/>
        <w:rPr>
          <w:sz w:val="24"/>
        </w:rPr>
      </w:pPr>
      <w:r>
        <w:rPr>
          <w:sz w:val="24"/>
        </w:rPr>
        <w:t>（1）《关于进一步加强新建和生产矿山生态保护修复工作的通知》，湘自资办发〔2021〕39号；</w:t>
      </w:r>
    </w:p>
    <w:p>
      <w:pPr>
        <w:spacing w:line="360" w:lineRule="auto"/>
        <w:ind w:firstLine="480" w:firstLineChars="200"/>
        <w:rPr>
          <w:sz w:val="24"/>
        </w:rPr>
      </w:pPr>
      <w:r>
        <w:rPr>
          <w:sz w:val="24"/>
        </w:rPr>
        <w:t>（2）《湖南省矿山生态修复基金管理办法》【湘自然资规〔2022〕3号】；</w:t>
      </w:r>
    </w:p>
    <w:p>
      <w:pPr>
        <w:spacing w:line="360" w:lineRule="auto"/>
        <w:ind w:firstLine="480" w:firstLineChars="200"/>
        <w:rPr>
          <w:sz w:val="24"/>
        </w:rPr>
      </w:pPr>
      <w:r>
        <w:rPr>
          <w:sz w:val="24"/>
        </w:rPr>
        <w:t>（3）《关于全面推动矿业绿色发展的若干意见（湘政办发〔2019〕71号）》；</w:t>
      </w:r>
    </w:p>
    <w:p>
      <w:pPr>
        <w:spacing w:line="360" w:lineRule="auto"/>
        <w:ind w:firstLine="480" w:firstLineChars="200"/>
        <w:rPr>
          <w:sz w:val="24"/>
        </w:rPr>
      </w:pPr>
      <w:r>
        <w:rPr>
          <w:sz w:val="24"/>
        </w:rPr>
        <w:t>（4）《关于印发&lt;湖南省绿色矿山管理办法&gt;的通知【湘自然资规〔2019〕4号】；</w:t>
      </w:r>
    </w:p>
    <w:p>
      <w:pPr>
        <w:spacing w:line="360" w:lineRule="auto"/>
        <w:ind w:firstLine="480" w:firstLineChars="200"/>
        <w:rPr>
          <w:sz w:val="24"/>
        </w:rPr>
      </w:pPr>
      <w:r>
        <w:rPr>
          <w:sz w:val="24"/>
        </w:rPr>
        <w:t>（5）《桃江县普通建筑材料用砂石土矿专项规划（2019—2025年）》，桃江县人民政府，2019年；</w:t>
      </w:r>
    </w:p>
    <w:p>
      <w:pPr>
        <w:spacing w:line="360" w:lineRule="auto"/>
        <w:ind w:firstLine="480" w:firstLineChars="200"/>
        <w:rPr>
          <w:sz w:val="24"/>
        </w:rPr>
      </w:pPr>
      <w:r>
        <w:rPr>
          <w:sz w:val="24"/>
        </w:rPr>
        <w:t>（6）《关于做好新建和生产矿山生态保护修复年度验收工作的通知》（湘自资办发〔2021〕82号）。</w:t>
      </w:r>
    </w:p>
    <w:p>
      <w:pPr>
        <w:spacing w:line="470" w:lineRule="exact"/>
        <w:ind w:firstLine="480" w:firstLineChars="200"/>
        <w:rPr>
          <w:sz w:val="24"/>
        </w:rPr>
      </w:pPr>
      <w:r>
        <w:rPr>
          <w:sz w:val="24"/>
        </w:rPr>
        <w:t>3、标准规范</w:t>
      </w:r>
    </w:p>
    <w:p>
      <w:pPr>
        <w:spacing w:line="470" w:lineRule="exact"/>
        <w:ind w:firstLine="480" w:firstLineChars="200"/>
        <w:rPr>
          <w:sz w:val="24"/>
        </w:rPr>
      </w:pPr>
      <w:r>
        <w:rPr>
          <w:sz w:val="24"/>
        </w:rPr>
        <w:t>（1）《建筑边坡工程技术规范》（GB 50330-2013）；</w:t>
      </w:r>
    </w:p>
    <w:p>
      <w:pPr>
        <w:spacing w:line="470" w:lineRule="exact"/>
        <w:ind w:firstLine="480" w:firstLineChars="200"/>
        <w:rPr>
          <w:sz w:val="24"/>
        </w:rPr>
      </w:pPr>
      <w:r>
        <w:rPr>
          <w:sz w:val="24"/>
        </w:rPr>
        <w:t>（2）《造林技术规程》（GB/T 15776-2016）；</w:t>
      </w:r>
    </w:p>
    <w:p>
      <w:pPr>
        <w:spacing w:line="470" w:lineRule="exact"/>
        <w:ind w:firstLine="480" w:firstLineChars="200"/>
        <w:rPr>
          <w:sz w:val="24"/>
        </w:rPr>
      </w:pPr>
      <w:r>
        <w:rPr>
          <w:sz w:val="24"/>
        </w:rPr>
        <w:t>（3）《室外排水设计规范》（GB 50014-2006（2016年版））；</w:t>
      </w:r>
    </w:p>
    <w:p>
      <w:pPr>
        <w:spacing w:line="470" w:lineRule="exact"/>
        <w:ind w:firstLine="480" w:firstLineChars="200"/>
        <w:rPr>
          <w:sz w:val="24"/>
        </w:rPr>
      </w:pPr>
      <w:r>
        <w:rPr>
          <w:sz w:val="24"/>
        </w:rPr>
        <w:t>（4）《灌溉与排水工程设计标准》（GB 50288-2018）；</w:t>
      </w:r>
    </w:p>
    <w:p>
      <w:pPr>
        <w:spacing w:line="360" w:lineRule="auto"/>
        <w:ind w:firstLine="480" w:firstLineChars="200"/>
        <w:rPr>
          <w:sz w:val="24"/>
        </w:rPr>
      </w:pPr>
      <w:r>
        <w:rPr>
          <w:sz w:val="24"/>
        </w:rPr>
        <w:t>（5）《水土保持综合治理技术规范》（GB/T16453.3-2008）；</w:t>
      </w:r>
    </w:p>
    <w:p>
      <w:pPr>
        <w:spacing w:line="360" w:lineRule="auto"/>
        <w:ind w:firstLine="480" w:firstLineChars="200"/>
        <w:rPr>
          <w:sz w:val="24"/>
        </w:rPr>
      </w:pPr>
      <w:r>
        <w:rPr>
          <w:sz w:val="24"/>
        </w:rPr>
        <w:t>（6）《土地利用现状分类》（GB/T21010-2017）；</w:t>
      </w:r>
    </w:p>
    <w:p>
      <w:pPr>
        <w:spacing w:line="360" w:lineRule="auto"/>
        <w:ind w:firstLine="480" w:firstLineChars="200"/>
        <w:rPr>
          <w:sz w:val="24"/>
        </w:rPr>
      </w:pPr>
      <w:r>
        <w:rPr>
          <w:sz w:val="24"/>
        </w:rPr>
        <w:t>（7）《地质灾害危险性评估规范》（GB/T40112-2021）；</w:t>
      </w:r>
    </w:p>
    <w:p>
      <w:pPr>
        <w:spacing w:line="360" w:lineRule="auto"/>
        <w:ind w:firstLine="480" w:firstLineChars="200"/>
        <w:rPr>
          <w:sz w:val="24"/>
        </w:rPr>
      </w:pPr>
      <w:r>
        <w:rPr>
          <w:sz w:val="24"/>
        </w:rPr>
        <w:t>（8）《土地复垦质量控制标准》（TD/T 1036-2013）；</w:t>
      </w:r>
    </w:p>
    <w:p>
      <w:pPr>
        <w:spacing w:line="360" w:lineRule="auto"/>
        <w:ind w:firstLine="480" w:firstLineChars="200"/>
        <w:rPr>
          <w:sz w:val="24"/>
        </w:rPr>
      </w:pPr>
      <w:r>
        <w:rPr>
          <w:sz w:val="24"/>
        </w:rPr>
        <w:t>（9）《砂石行业绿色矿山建设规范》（DZ/T0316-2018）</w:t>
      </w:r>
    </w:p>
    <w:p>
      <w:pPr>
        <w:spacing w:line="360" w:lineRule="auto"/>
        <w:ind w:firstLine="480" w:firstLineChars="200"/>
        <w:rPr>
          <w:sz w:val="24"/>
        </w:rPr>
      </w:pPr>
      <w:r>
        <w:rPr>
          <w:sz w:val="24"/>
        </w:rPr>
        <w:t>（10）《农田灌溉水质标准》（GB5084-2021）；</w:t>
      </w:r>
    </w:p>
    <w:p>
      <w:pPr>
        <w:spacing w:line="360" w:lineRule="auto"/>
        <w:ind w:firstLine="480" w:firstLineChars="200"/>
        <w:rPr>
          <w:sz w:val="24"/>
        </w:rPr>
      </w:pPr>
      <w:r>
        <w:rPr>
          <w:sz w:val="24"/>
        </w:rPr>
        <w:t>（11）《林业生态造林技术规程》（DB867-2013）；</w:t>
      </w:r>
    </w:p>
    <w:p>
      <w:pPr>
        <w:spacing w:line="360" w:lineRule="auto"/>
        <w:ind w:firstLine="480" w:firstLineChars="200"/>
        <w:rPr>
          <w:sz w:val="24"/>
        </w:rPr>
      </w:pPr>
      <w:r>
        <w:rPr>
          <w:sz w:val="24"/>
        </w:rPr>
        <w:t>（12）《湖南省矿山生态保护修复工程质量验收规范》（DB43/T2299-2022）；</w:t>
      </w:r>
    </w:p>
    <w:p>
      <w:pPr>
        <w:spacing w:line="360" w:lineRule="auto"/>
        <w:ind w:firstLine="480" w:firstLineChars="200"/>
        <w:rPr>
          <w:sz w:val="24"/>
        </w:rPr>
      </w:pPr>
      <w:r>
        <w:rPr>
          <w:sz w:val="24"/>
        </w:rPr>
        <w:t>（13）《矿山生态保护修复方案编制规范》（DB43/T2298-2022）；</w:t>
      </w:r>
    </w:p>
    <w:p>
      <w:pPr>
        <w:spacing w:line="360" w:lineRule="auto"/>
        <w:ind w:firstLine="480" w:firstLineChars="200"/>
        <w:rPr>
          <w:sz w:val="24"/>
        </w:rPr>
      </w:pPr>
      <w:r>
        <w:rPr>
          <w:sz w:val="24"/>
        </w:rPr>
        <w:t>（1</w:t>
      </w:r>
      <w:r>
        <w:rPr>
          <w:rFonts w:hint="eastAsia"/>
          <w:sz w:val="24"/>
        </w:rPr>
        <w:t>4</w:t>
      </w:r>
      <w:r>
        <w:rPr>
          <w:sz w:val="24"/>
        </w:rPr>
        <w:t>）《土壤环境质量 农用地土壤污染风险管控标准（试行）》（GB 15618-2018）;</w:t>
      </w:r>
    </w:p>
    <w:p>
      <w:pPr>
        <w:spacing w:line="470" w:lineRule="exact"/>
        <w:ind w:firstLine="480" w:firstLineChars="200"/>
        <w:rPr>
          <w:sz w:val="24"/>
        </w:rPr>
      </w:pPr>
      <w:r>
        <w:rPr>
          <w:sz w:val="24"/>
        </w:rPr>
        <w:t>4、技术资料</w:t>
      </w:r>
    </w:p>
    <w:p>
      <w:pPr>
        <w:spacing w:line="460" w:lineRule="exact"/>
        <w:ind w:firstLine="480" w:firstLineChars="200"/>
        <w:rPr>
          <w:sz w:val="24"/>
        </w:rPr>
      </w:pPr>
      <w:r>
        <w:rPr>
          <w:sz w:val="24"/>
        </w:rPr>
        <w:t>（1）2019年1月，湖南省有色地质勘查研究院编制的《湖南省桃江县浮邱山矿区沙田湾建筑用花岗岩矿矿山地质环境综合防治方案》；</w:t>
      </w:r>
    </w:p>
    <w:p>
      <w:pPr>
        <w:spacing w:line="460" w:lineRule="exact"/>
        <w:ind w:firstLine="480" w:firstLineChars="200"/>
        <w:rPr>
          <w:sz w:val="24"/>
        </w:rPr>
      </w:pPr>
      <w:r>
        <w:rPr>
          <w:sz w:val="24"/>
        </w:rPr>
        <w:t>（2）2020年5月，湖南省水工环地质工程勘察院编制的《湖南省湖南省桃江县浮邱山矿区沙田湾花岗岩矿绿色矿山建设方案》</w:t>
      </w:r>
    </w:p>
    <w:p>
      <w:pPr>
        <w:spacing w:line="460" w:lineRule="exact"/>
        <w:ind w:firstLine="480" w:firstLineChars="200"/>
        <w:rPr>
          <w:sz w:val="24"/>
        </w:rPr>
      </w:pPr>
      <w:r>
        <w:rPr>
          <w:sz w:val="24"/>
        </w:rPr>
        <w:t>（3）2022年10月，湖南省城市地质调查监测所编制的《湖南省桃江县浮邱山矿区沙田湾建筑用花岗岩矿资源储量核实报告》；</w:t>
      </w:r>
    </w:p>
    <w:p>
      <w:pPr>
        <w:spacing w:line="460" w:lineRule="exact"/>
        <w:ind w:firstLine="480" w:firstLineChars="200"/>
        <w:rPr>
          <w:sz w:val="24"/>
        </w:rPr>
      </w:pPr>
      <w:r>
        <w:rPr>
          <w:sz w:val="24"/>
        </w:rPr>
        <w:t>（4）2022年12月，湖南省城市地质调查监测所编制的《湖南省桃江县浮邱山矿区沙田湾花岗岩矿资源开发利用方案》；</w:t>
      </w:r>
    </w:p>
    <w:p>
      <w:pPr>
        <w:spacing w:line="460" w:lineRule="exact"/>
        <w:ind w:firstLine="480" w:firstLineChars="200"/>
        <w:rPr>
          <w:sz w:val="24"/>
        </w:rPr>
      </w:pPr>
      <w:r>
        <w:rPr>
          <w:sz w:val="24"/>
        </w:rPr>
        <w:t>（5）土地利用现状图（三调成果）；</w:t>
      </w:r>
    </w:p>
    <w:p>
      <w:pPr>
        <w:spacing w:line="460" w:lineRule="exact"/>
        <w:ind w:firstLine="480" w:firstLineChars="200"/>
        <w:rPr>
          <w:sz w:val="24"/>
        </w:rPr>
      </w:pPr>
      <w:r>
        <w:rPr>
          <w:sz w:val="24"/>
        </w:rPr>
        <w:t>（6）本次调查及测量测绘资料。</w:t>
      </w:r>
    </w:p>
    <w:p>
      <w:pPr>
        <w:pStyle w:val="5"/>
        <w:spacing w:before="120" w:after="120" w:line="400" w:lineRule="exact"/>
        <w:jc w:val="left"/>
        <w:rPr>
          <w:b w:val="0"/>
          <w:bCs w:val="0"/>
          <w:sz w:val="24"/>
        </w:rPr>
      </w:pPr>
      <w:r>
        <w:rPr>
          <w:b w:val="0"/>
          <w:bCs w:val="0"/>
          <w:sz w:val="24"/>
        </w:rPr>
        <w:t>（四）工作概况</w:t>
      </w:r>
    </w:p>
    <w:p>
      <w:pPr>
        <w:spacing w:line="440" w:lineRule="exact"/>
        <w:ind w:firstLine="480" w:firstLineChars="200"/>
        <w:rPr>
          <w:kern w:val="0"/>
          <w:sz w:val="24"/>
        </w:rPr>
      </w:pPr>
      <w:r>
        <w:rPr>
          <w:kern w:val="0"/>
          <w:sz w:val="24"/>
        </w:rPr>
        <w:t>本次工作搜集资料包括有地质、采矿、工程地质、水文地质及环境地质、人文、社会经济、自然地理及林业资源等资料，主要为文字报告、图件及表格资料。</w:t>
      </w:r>
    </w:p>
    <w:p>
      <w:pPr>
        <w:spacing w:line="440" w:lineRule="exact"/>
        <w:ind w:firstLine="480" w:firstLineChars="200"/>
        <w:rPr>
          <w:kern w:val="0"/>
          <w:sz w:val="24"/>
        </w:rPr>
      </w:pPr>
      <w:r>
        <w:rPr>
          <w:kern w:val="0"/>
          <w:sz w:val="24"/>
        </w:rPr>
        <w:t>野外实际调查识别内容包括地形地貌、地层、构造、矿床及矿床开发、地表水、井泉、人居环境、水资源及水环境、土地资源及土石环境、地质灾害、重要工程建设设施、矿山开采情况、矿区水文及工程地质情况、矿山生态环境破坏及保护修复情况，矿山交通情况等。</w:t>
      </w:r>
    </w:p>
    <w:p>
      <w:pPr>
        <w:spacing w:line="440" w:lineRule="exact"/>
        <w:ind w:firstLine="480" w:firstLineChars="200"/>
        <w:rPr>
          <w:sz w:val="24"/>
        </w:rPr>
      </w:pPr>
      <w:r>
        <w:rPr>
          <w:kern w:val="0"/>
          <w:sz w:val="24"/>
        </w:rPr>
        <w:t>通过资料收集与野外调查，基本查明了矿山生态环境特征，基本查明了矿山环境地质问题及成因条件，为本次工作奠定了良好的基础，具体工作量见表</w:t>
      </w:r>
      <w:r>
        <w:rPr>
          <w:sz w:val="24"/>
        </w:rPr>
        <w:t>1-1。</w:t>
      </w:r>
    </w:p>
    <w:p>
      <w:pPr>
        <w:spacing w:line="440" w:lineRule="exact"/>
        <w:ind w:firstLine="420" w:firstLineChars="200"/>
        <w:jc w:val="center"/>
        <w:rPr>
          <w:szCs w:val="21"/>
        </w:rPr>
      </w:pPr>
      <w:r>
        <w:rPr>
          <w:szCs w:val="21"/>
        </w:rPr>
        <w:t>表1-1    完成主要工作量表</w:t>
      </w:r>
    </w:p>
    <w:tbl>
      <w:tblPr>
        <w:tblStyle w:val="34"/>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709"/>
        <w:gridCol w:w="992"/>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830" w:type="dxa"/>
            <w:gridSpan w:val="2"/>
            <w:vAlign w:val="center"/>
          </w:tcPr>
          <w:p>
            <w:pPr>
              <w:tabs>
                <w:tab w:val="right" w:leader="dot" w:pos="8296"/>
              </w:tabs>
              <w:ind w:left="210"/>
              <w:jc w:val="center"/>
              <w:rPr>
                <w:smallCaps/>
                <w:szCs w:val="21"/>
              </w:rPr>
            </w:pPr>
            <w:r>
              <w:rPr>
                <w:smallCaps/>
                <w:szCs w:val="21"/>
              </w:rPr>
              <w:t>工作项目</w:t>
            </w:r>
          </w:p>
        </w:tc>
        <w:tc>
          <w:tcPr>
            <w:tcW w:w="709" w:type="dxa"/>
            <w:vAlign w:val="center"/>
          </w:tcPr>
          <w:p>
            <w:pPr>
              <w:tabs>
                <w:tab w:val="right" w:leader="dot" w:pos="8296"/>
              </w:tabs>
              <w:jc w:val="center"/>
              <w:rPr>
                <w:smallCaps/>
                <w:szCs w:val="21"/>
              </w:rPr>
            </w:pPr>
            <w:r>
              <w:rPr>
                <w:smallCaps/>
                <w:szCs w:val="21"/>
              </w:rPr>
              <w:t>单位</w:t>
            </w:r>
          </w:p>
        </w:tc>
        <w:tc>
          <w:tcPr>
            <w:tcW w:w="992" w:type="dxa"/>
            <w:vAlign w:val="center"/>
          </w:tcPr>
          <w:p>
            <w:pPr>
              <w:tabs>
                <w:tab w:val="right" w:leader="dot" w:pos="8296"/>
              </w:tabs>
              <w:rPr>
                <w:smallCaps/>
                <w:szCs w:val="21"/>
              </w:rPr>
            </w:pPr>
            <w:r>
              <w:rPr>
                <w:smallCaps/>
                <w:szCs w:val="21"/>
              </w:rPr>
              <w:t>工作量</w:t>
            </w:r>
          </w:p>
        </w:tc>
        <w:tc>
          <w:tcPr>
            <w:tcW w:w="4404" w:type="dxa"/>
            <w:vAlign w:val="center"/>
          </w:tcPr>
          <w:p>
            <w:pPr>
              <w:tabs>
                <w:tab w:val="right" w:leader="dot" w:pos="8296"/>
              </w:tabs>
              <w:ind w:left="210"/>
              <w:jc w:val="center"/>
              <w:rPr>
                <w:smallCaps/>
                <w:szCs w:val="21"/>
              </w:rPr>
            </w:pPr>
            <w:r>
              <w:rPr>
                <w:smallCaps/>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04" w:type="dxa"/>
            <w:vMerge w:val="restart"/>
            <w:vAlign w:val="center"/>
          </w:tcPr>
          <w:p>
            <w:pPr>
              <w:tabs>
                <w:tab w:val="right" w:leader="dot" w:pos="8296"/>
              </w:tabs>
              <w:rPr>
                <w:smallCaps/>
                <w:szCs w:val="21"/>
              </w:rPr>
            </w:pPr>
            <w:r>
              <w:rPr>
                <w:smallCaps/>
                <w:szCs w:val="21"/>
              </w:rPr>
              <w:t>搜集资料</w:t>
            </w:r>
          </w:p>
        </w:tc>
        <w:tc>
          <w:tcPr>
            <w:tcW w:w="2126" w:type="dxa"/>
            <w:vAlign w:val="center"/>
          </w:tcPr>
          <w:p>
            <w:pPr>
              <w:tabs>
                <w:tab w:val="right" w:leader="dot" w:pos="8296"/>
              </w:tabs>
              <w:jc w:val="center"/>
              <w:rPr>
                <w:smallCaps/>
                <w:szCs w:val="21"/>
              </w:rPr>
            </w:pPr>
            <w:r>
              <w:rPr>
                <w:smallCaps/>
                <w:szCs w:val="21"/>
              </w:rPr>
              <w:t>文字报告</w:t>
            </w:r>
          </w:p>
        </w:tc>
        <w:tc>
          <w:tcPr>
            <w:tcW w:w="709" w:type="dxa"/>
            <w:vAlign w:val="center"/>
          </w:tcPr>
          <w:p>
            <w:pPr>
              <w:tabs>
                <w:tab w:val="right" w:leader="dot" w:pos="8296"/>
              </w:tabs>
              <w:ind w:left="210"/>
              <w:rPr>
                <w:smallCaps/>
                <w:szCs w:val="21"/>
              </w:rPr>
            </w:pPr>
            <w:r>
              <w:rPr>
                <w:smallCaps/>
                <w:szCs w:val="21"/>
              </w:rPr>
              <w:t>份</w:t>
            </w:r>
          </w:p>
        </w:tc>
        <w:tc>
          <w:tcPr>
            <w:tcW w:w="992" w:type="dxa"/>
            <w:vAlign w:val="center"/>
          </w:tcPr>
          <w:p>
            <w:pPr>
              <w:tabs>
                <w:tab w:val="right" w:leader="dot" w:pos="8296"/>
              </w:tabs>
              <w:jc w:val="center"/>
              <w:rPr>
                <w:smallCaps/>
                <w:szCs w:val="21"/>
              </w:rPr>
            </w:pPr>
            <w:r>
              <w:rPr>
                <w:smallCaps/>
                <w:szCs w:val="21"/>
              </w:rPr>
              <w:t>4</w:t>
            </w:r>
          </w:p>
        </w:tc>
        <w:tc>
          <w:tcPr>
            <w:tcW w:w="4404" w:type="dxa"/>
            <w:vAlign w:val="center"/>
          </w:tcPr>
          <w:p>
            <w:pPr>
              <w:tabs>
                <w:tab w:val="right" w:leader="dot" w:pos="8296"/>
              </w:tabs>
              <w:adjustRightInd w:val="0"/>
              <w:snapToGrid w:val="0"/>
              <w:spacing w:line="240" w:lineRule="atLeast"/>
              <w:rPr>
                <w:smallCaps/>
                <w:szCs w:val="21"/>
              </w:rPr>
            </w:pPr>
            <w:r>
              <w:rPr>
                <w:smallCaps/>
                <w:szCs w:val="21"/>
              </w:rPr>
              <w:t>储量核实报告、资源开发利用方案、综合防治方案报告及其他资料。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4" w:type="dxa"/>
            <w:vMerge w:val="continue"/>
            <w:vAlign w:val="center"/>
          </w:tcPr>
          <w:p>
            <w:pPr>
              <w:tabs>
                <w:tab w:val="right" w:leader="dot" w:pos="8296"/>
              </w:tabs>
              <w:ind w:left="210"/>
              <w:jc w:val="center"/>
              <w:rPr>
                <w:smallCaps/>
                <w:szCs w:val="21"/>
              </w:rPr>
            </w:pPr>
          </w:p>
        </w:tc>
        <w:tc>
          <w:tcPr>
            <w:tcW w:w="2126" w:type="dxa"/>
            <w:vAlign w:val="center"/>
          </w:tcPr>
          <w:p>
            <w:pPr>
              <w:tabs>
                <w:tab w:val="right" w:leader="dot" w:pos="8296"/>
              </w:tabs>
              <w:jc w:val="center"/>
              <w:rPr>
                <w:smallCaps/>
                <w:szCs w:val="21"/>
              </w:rPr>
            </w:pPr>
            <w:r>
              <w:rPr>
                <w:smallCaps/>
                <w:szCs w:val="21"/>
              </w:rPr>
              <w:t>图件</w:t>
            </w:r>
          </w:p>
        </w:tc>
        <w:tc>
          <w:tcPr>
            <w:tcW w:w="709" w:type="dxa"/>
            <w:vAlign w:val="center"/>
          </w:tcPr>
          <w:p>
            <w:pPr>
              <w:tabs>
                <w:tab w:val="right" w:leader="dot" w:pos="8296"/>
              </w:tabs>
              <w:ind w:left="210"/>
              <w:rPr>
                <w:smallCaps/>
                <w:szCs w:val="21"/>
              </w:rPr>
            </w:pPr>
            <w:r>
              <w:rPr>
                <w:smallCaps/>
                <w:szCs w:val="21"/>
              </w:rPr>
              <w:t>张</w:t>
            </w:r>
          </w:p>
        </w:tc>
        <w:tc>
          <w:tcPr>
            <w:tcW w:w="992" w:type="dxa"/>
            <w:vAlign w:val="center"/>
          </w:tcPr>
          <w:p>
            <w:pPr>
              <w:tabs>
                <w:tab w:val="right" w:leader="dot" w:pos="8296"/>
              </w:tabs>
              <w:jc w:val="center"/>
              <w:rPr>
                <w:smallCaps/>
                <w:szCs w:val="21"/>
              </w:rPr>
            </w:pPr>
            <w:r>
              <w:rPr>
                <w:smallCaps/>
                <w:szCs w:val="21"/>
              </w:rPr>
              <w:t>4</w:t>
            </w:r>
          </w:p>
        </w:tc>
        <w:tc>
          <w:tcPr>
            <w:tcW w:w="4404" w:type="dxa"/>
            <w:vAlign w:val="center"/>
          </w:tcPr>
          <w:p>
            <w:pPr>
              <w:tabs>
                <w:tab w:val="right" w:leader="dot" w:pos="8296"/>
              </w:tabs>
              <w:adjustRightInd w:val="0"/>
              <w:snapToGrid w:val="0"/>
              <w:spacing w:line="240" w:lineRule="atLeast"/>
              <w:rPr>
                <w:smallCaps/>
                <w:szCs w:val="21"/>
              </w:rPr>
            </w:pPr>
            <w:r>
              <w:rPr>
                <w:smallCaps/>
                <w:szCs w:val="21"/>
              </w:rPr>
              <w:t>地形地质图、剖面图、开发利用方案平面图、土地利用现状图等。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04" w:type="dxa"/>
            <w:vMerge w:val="continue"/>
            <w:vAlign w:val="center"/>
          </w:tcPr>
          <w:p>
            <w:pPr>
              <w:tabs>
                <w:tab w:val="right" w:leader="dot" w:pos="8296"/>
              </w:tabs>
              <w:ind w:left="210"/>
              <w:jc w:val="center"/>
              <w:rPr>
                <w:smallCaps/>
                <w:szCs w:val="21"/>
              </w:rPr>
            </w:pPr>
          </w:p>
        </w:tc>
        <w:tc>
          <w:tcPr>
            <w:tcW w:w="2126" w:type="dxa"/>
            <w:vAlign w:val="center"/>
          </w:tcPr>
          <w:p>
            <w:pPr>
              <w:tabs>
                <w:tab w:val="right" w:leader="dot" w:pos="8296"/>
              </w:tabs>
              <w:jc w:val="center"/>
              <w:rPr>
                <w:smallCaps/>
                <w:szCs w:val="21"/>
              </w:rPr>
            </w:pPr>
            <w:r>
              <w:rPr>
                <w:smallCaps/>
                <w:szCs w:val="21"/>
              </w:rPr>
              <w:t>附件及附表</w:t>
            </w:r>
          </w:p>
        </w:tc>
        <w:tc>
          <w:tcPr>
            <w:tcW w:w="709" w:type="dxa"/>
            <w:vAlign w:val="center"/>
          </w:tcPr>
          <w:p>
            <w:pPr>
              <w:tabs>
                <w:tab w:val="right" w:leader="dot" w:pos="8296"/>
              </w:tabs>
              <w:ind w:left="210"/>
              <w:rPr>
                <w:smallCaps/>
                <w:szCs w:val="21"/>
              </w:rPr>
            </w:pPr>
            <w:r>
              <w:rPr>
                <w:smallCaps/>
                <w:szCs w:val="21"/>
              </w:rPr>
              <w:t>张</w:t>
            </w:r>
          </w:p>
        </w:tc>
        <w:tc>
          <w:tcPr>
            <w:tcW w:w="992" w:type="dxa"/>
            <w:vAlign w:val="center"/>
          </w:tcPr>
          <w:p>
            <w:pPr>
              <w:tabs>
                <w:tab w:val="right" w:leader="dot" w:pos="8296"/>
              </w:tabs>
              <w:jc w:val="center"/>
              <w:rPr>
                <w:smallCaps/>
                <w:szCs w:val="21"/>
              </w:rPr>
            </w:pPr>
            <w:r>
              <w:rPr>
                <w:smallCaps/>
                <w:szCs w:val="21"/>
              </w:rPr>
              <w:t>7</w:t>
            </w:r>
          </w:p>
        </w:tc>
        <w:tc>
          <w:tcPr>
            <w:tcW w:w="4404" w:type="dxa"/>
            <w:vAlign w:val="center"/>
          </w:tcPr>
          <w:p>
            <w:pPr>
              <w:tabs>
                <w:tab w:val="right" w:leader="dot" w:pos="8296"/>
              </w:tabs>
              <w:jc w:val="center"/>
              <w:rPr>
                <w:smallCaps/>
                <w:szCs w:val="21"/>
              </w:rPr>
            </w:pPr>
            <w:r>
              <w:rPr>
                <w:smallCaps/>
                <w:szCs w:val="21"/>
              </w:rPr>
              <w:t>矿山生态问题调查表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04" w:type="dxa"/>
            <w:vAlign w:val="center"/>
          </w:tcPr>
          <w:p>
            <w:pPr>
              <w:tabs>
                <w:tab w:val="right" w:leader="dot" w:pos="8296"/>
              </w:tabs>
              <w:rPr>
                <w:smallCaps/>
                <w:szCs w:val="21"/>
              </w:rPr>
            </w:pPr>
            <w:r>
              <w:rPr>
                <w:smallCaps/>
                <w:szCs w:val="21"/>
              </w:rPr>
              <w:t>遥感解译</w:t>
            </w:r>
          </w:p>
        </w:tc>
        <w:tc>
          <w:tcPr>
            <w:tcW w:w="2126" w:type="dxa"/>
            <w:vAlign w:val="center"/>
          </w:tcPr>
          <w:p>
            <w:pPr>
              <w:tabs>
                <w:tab w:val="right" w:leader="dot" w:pos="8296"/>
              </w:tabs>
              <w:jc w:val="center"/>
              <w:rPr>
                <w:smallCaps/>
                <w:szCs w:val="21"/>
              </w:rPr>
            </w:pPr>
            <w:r>
              <w:rPr>
                <w:smallCaps/>
                <w:szCs w:val="21"/>
              </w:rPr>
              <w:t>无人航拍</w:t>
            </w:r>
          </w:p>
        </w:tc>
        <w:tc>
          <w:tcPr>
            <w:tcW w:w="709" w:type="dxa"/>
            <w:vAlign w:val="center"/>
          </w:tcPr>
          <w:p>
            <w:pPr>
              <w:tabs>
                <w:tab w:val="right" w:leader="dot" w:pos="8296"/>
              </w:tabs>
              <w:rPr>
                <w:smallCaps/>
                <w:szCs w:val="21"/>
              </w:rPr>
            </w:pPr>
            <w:r>
              <w:rPr>
                <w:szCs w:val="21"/>
              </w:rPr>
              <w:t>km</w:t>
            </w:r>
            <w:r>
              <w:rPr>
                <w:szCs w:val="21"/>
                <w:vertAlign w:val="superscript"/>
              </w:rPr>
              <w:t>2</w:t>
            </w:r>
          </w:p>
        </w:tc>
        <w:tc>
          <w:tcPr>
            <w:tcW w:w="992" w:type="dxa"/>
            <w:vAlign w:val="center"/>
          </w:tcPr>
          <w:p>
            <w:pPr>
              <w:tabs>
                <w:tab w:val="right" w:leader="dot" w:pos="8296"/>
              </w:tabs>
              <w:jc w:val="center"/>
              <w:rPr>
                <w:smallCaps/>
                <w:szCs w:val="21"/>
              </w:rPr>
            </w:pPr>
            <w:r>
              <w:rPr>
                <w:smallCaps/>
                <w:szCs w:val="21"/>
              </w:rPr>
              <w:t>1.2</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04" w:type="dxa"/>
            <w:vMerge w:val="restart"/>
            <w:vAlign w:val="center"/>
          </w:tcPr>
          <w:p>
            <w:pPr>
              <w:tabs>
                <w:tab w:val="right" w:leader="dot" w:pos="8296"/>
              </w:tabs>
              <w:rPr>
                <w:smallCaps/>
                <w:szCs w:val="21"/>
              </w:rPr>
            </w:pPr>
            <w:r>
              <w:rPr>
                <w:smallCaps/>
                <w:szCs w:val="21"/>
              </w:rPr>
              <w:t>野外调查</w:t>
            </w:r>
          </w:p>
        </w:tc>
        <w:tc>
          <w:tcPr>
            <w:tcW w:w="2126" w:type="dxa"/>
            <w:vAlign w:val="center"/>
          </w:tcPr>
          <w:p>
            <w:pPr>
              <w:tabs>
                <w:tab w:val="right" w:leader="dot" w:pos="8296"/>
              </w:tabs>
              <w:jc w:val="center"/>
              <w:rPr>
                <w:smallCaps/>
                <w:szCs w:val="21"/>
              </w:rPr>
            </w:pPr>
            <w:r>
              <w:rPr>
                <w:smallCaps/>
                <w:szCs w:val="21"/>
              </w:rPr>
              <w:t>调查面积</w:t>
            </w:r>
          </w:p>
        </w:tc>
        <w:tc>
          <w:tcPr>
            <w:tcW w:w="709" w:type="dxa"/>
            <w:vAlign w:val="center"/>
          </w:tcPr>
          <w:p>
            <w:pPr>
              <w:tabs>
                <w:tab w:val="right" w:leader="dot" w:pos="8296"/>
              </w:tabs>
              <w:jc w:val="center"/>
              <w:rPr>
                <w:smallCaps/>
                <w:szCs w:val="21"/>
              </w:rPr>
            </w:pPr>
            <w:r>
              <w:rPr>
                <w:szCs w:val="21"/>
              </w:rPr>
              <w:t>km</w:t>
            </w:r>
            <w:r>
              <w:rPr>
                <w:szCs w:val="21"/>
                <w:vertAlign w:val="superscript"/>
              </w:rPr>
              <w:t>2</w:t>
            </w:r>
          </w:p>
        </w:tc>
        <w:tc>
          <w:tcPr>
            <w:tcW w:w="992" w:type="dxa"/>
            <w:vAlign w:val="center"/>
          </w:tcPr>
          <w:p>
            <w:pPr>
              <w:tabs>
                <w:tab w:val="right" w:leader="dot" w:pos="8296"/>
              </w:tabs>
              <w:jc w:val="center"/>
              <w:rPr>
                <w:smallCaps/>
                <w:szCs w:val="21"/>
                <w:vertAlign w:val="superscript"/>
              </w:rPr>
            </w:pPr>
            <w:r>
              <w:rPr>
                <w:smallCaps/>
                <w:szCs w:val="21"/>
              </w:rPr>
              <w:t>0.546</w:t>
            </w:r>
          </w:p>
        </w:tc>
        <w:tc>
          <w:tcPr>
            <w:tcW w:w="4404" w:type="dxa"/>
            <w:vAlign w:val="center"/>
          </w:tcPr>
          <w:p>
            <w:pPr>
              <w:tabs>
                <w:tab w:val="right" w:leader="dot" w:pos="8296"/>
              </w:tabs>
              <w:jc w:val="center"/>
              <w:rPr>
                <w:smallCaps/>
                <w:szCs w:val="21"/>
              </w:rPr>
            </w:pPr>
            <w:r>
              <w:rPr>
                <w:smallCaps/>
                <w:szCs w:val="21"/>
              </w:rPr>
              <w:t>生态修复区范围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04" w:type="dxa"/>
            <w:vMerge w:val="continue"/>
            <w:vAlign w:val="center"/>
          </w:tcPr>
          <w:p>
            <w:pPr>
              <w:tabs>
                <w:tab w:val="right" w:leader="dot" w:pos="8296"/>
              </w:tabs>
              <w:rPr>
                <w:smallCaps/>
                <w:szCs w:val="21"/>
              </w:rPr>
            </w:pPr>
          </w:p>
        </w:tc>
        <w:tc>
          <w:tcPr>
            <w:tcW w:w="2126" w:type="dxa"/>
            <w:vAlign w:val="center"/>
          </w:tcPr>
          <w:p>
            <w:pPr>
              <w:tabs>
                <w:tab w:val="right" w:leader="dot" w:pos="8296"/>
              </w:tabs>
              <w:jc w:val="center"/>
              <w:rPr>
                <w:smallCaps/>
                <w:szCs w:val="21"/>
              </w:rPr>
            </w:pPr>
            <w:r>
              <w:rPr>
                <w:smallCaps/>
                <w:szCs w:val="21"/>
              </w:rPr>
              <w:t>土壤植被调查</w:t>
            </w:r>
          </w:p>
        </w:tc>
        <w:tc>
          <w:tcPr>
            <w:tcW w:w="709" w:type="dxa"/>
            <w:vAlign w:val="center"/>
          </w:tcPr>
          <w:p>
            <w:pPr>
              <w:tabs>
                <w:tab w:val="right" w:leader="dot" w:pos="8296"/>
              </w:tabs>
              <w:jc w:val="center"/>
              <w:rPr>
                <w:szCs w:val="21"/>
              </w:rPr>
            </w:pPr>
            <w:r>
              <w:rPr>
                <w:szCs w:val="21"/>
              </w:rPr>
              <w:t>km</w:t>
            </w:r>
            <w:r>
              <w:rPr>
                <w:szCs w:val="21"/>
                <w:vertAlign w:val="superscript"/>
              </w:rPr>
              <w:t>2</w:t>
            </w:r>
          </w:p>
        </w:tc>
        <w:tc>
          <w:tcPr>
            <w:tcW w:w="992" w:type="dxa"/>
            <w:vAlign w:val="center"/>
          </w:tcPr>
          <w:p>
            <w:pPr>
              <w:tabs>
                <w:tab w:val="right" w:leader="dot" w:pos="8296"/>
              </w:tabs>
              <w:jc w:val="center"/>
              <w:rPr>
                <w:smallCaps/>
                <w:szCs w:val="21"/>
              </w:rPr>
            </w:pPr>
            <w:r>
              <w:rPr>
                <w:smallCaps/>
                <w:szCs w:val="21"/>
              </w:rPr>
              <w:t>0.546</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调查线路长</w:t>
            </w:r>
          </w:p>
        </w:tc>
        <w:tc>
          <w:tcPr>
            <w:tcW w:w="709" w:type="dxa"/>
            <w:vAlign w:val="center"/>
          </w:tcPr>
          <w:p>
            <w:pPr>
              <w:tabs>
                <w:tab w:val="right" w:leader="dot" w:pos="8296"/>
              </w:tabs>
              <w:jc w:val="center"/>
              <w:rPr>
                <w:smallCaps/>
                <w:szCs w:val="21"/>
              </w:rPr>
            </w:pPr>
            <w:r>
              <w:rPr>
                <w:szCs w:val="21"/>
              </w:rPr>
              <w:t>km</w:t>
            </w:r>
          </w:p>
        </w:tc>
        <w:tc>
          <w:tcPr>
            <w:tcW w:w="992" w:type="dxa"/>
            <w:vAlign w:val="center"/>
          </w:tcPr>
          <w:p>
            <w:pPr>
              <w:tabs>
                <w:tab w:val="right" w:leader="dot" w:pos="8296"/>
              </w:tabs>
              <w:jc w:val="center"/>
              <w:rPr>
                <w:smallCaps/>
                <w:szCs w:val="21"/>
              </w:rPr>
            </w:pPr>
            <w:r>
              <w:rPr>
                <w:smallCaps/>
                <w:szCs w:val="21"/>
              </w:rPr>
              <w:t>2.2</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山塘、溪沟</w:t>
            </w:r>
          </w:p>
        </w:tc>
        <w:tc>
          <w:tcPr>
            <w:tcW w:w="709" w:type="dxa"/>
            <w:vAlign w:val="center"/>
          </w:tcPr>
          <w:p>
            <w:pPr>
              <w:tabs>
                <w:tab w:val="right" w:leader="dot" w:pos="8296"/>
              </w:tabs>
              <w:jc w:val="center"/>
              <w:rPr>
                <w:smallCaps/>
                <w:szCs w:val="21"/>
              </w:rPr>
            </w:pPr>
            <w:r>
              <w:rPr>
                <w:smallCaps/>
                <w:szCs w:val="21"/>
              </w:rPr>
              <w:t>处</w:t>
            </w:r>
          </w:p>
        </w:tc>
        <w:tc>
          <w:tcPr>
            <w:tcW w:w="992" w:type="dxa"/>
            <w:vAlign w:val="center"/>
          </w:tcPr>
          <w:p>
            <w:pPr>
              <w:tabs>
                <w:tab w:val="right" w:leader="dot" w:pos="8296"/>
              </w:tabs>
              <w:jc w:val="center"/>
              <w:rPr>
                <w:smallCaps/>
                <w:szCs w:val="21"/>
              </w:rPr>
            </w:pPr>
            <w:r>
              <w:rPr>
                <w:smallCaps/>
                <w:szCs w:val="21"/>
              </w:rPr>
              <w:t>1</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露天采场</w:t>
            </w:r>
          </w:p>
        </w:tc>
        <w:tc>
          <w:tcPr>
            <w:tcW w:w="709" w:type="dxa"/>
            <w:vAlign w:val="center"/>
          </w:tcPr>
          <w:p>
            <w:pPr>
              <w:tabs>
                <w:tab w:val="right" w:leader="dot" w:pos="8296"/>
              </w:tabs>
              <w:jc w:val="center"/>
              <w:rPr>
                <w:szCs w:val="21"/>
              </w:rPr>
            </w:pPr>
            <w:r>
              <w:rPr>
                <w:szCs w:val="21"/>
              </w:rPr>
              <w:t>处</w:t>
            </w:r>
          </w:p>
        </w:tc>
        <w:tc>
          <w:tcPr>
            <w:tcW w:w="992" w:type="dxa"/>
            <w:vAlign w:val="center"/>
          </w:tcPr>
          <w:p>
            <w:pPr>
              <w:tabs>
                <w:tab w:val="right" w:leader="dot" w:pos="8296"/>
              </w:tabs>
              <w:jc w:val="center"/>
              <w:rPr>
                <w:smallCaps/>
                <w:szCs w:val="21"/>
              </w:rPr>
            </w:pPr>
            <w:r>
              <w:rPr>
                <w:szCs w:val="21"/>
              </w:rPr>
              <w:t>1</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矿部、工业广场等</w:t>
            </w:r>
          </w:p>
        </w:tc>
        <w:tc>
          <w:tcPr>
            <w:tcW w:w="709" w:type="dxa"/>
            <w:vAlign w:val="center"/>
          </w:tcPr>
          <w:p>
            <w:pPr>
              <w:tabs>
                <w:tab w:val="right" w:leader="dot" w:pos="8296"/>
              </w:tabs>
              <w:jc w:val="center"/>
              <w:rPr>
                <w:szCs w:val="21"/>
              </w:rPr>
            </w:pPr>
            <w:r>
              <w:rPr>
                <w:szCs w:val="21"/>
              </w:rPr>
              <w:t>处</w:t>
            </w:r>
          </w:p>
        </w:tc>
        <w:tc>
          <w:tcPr>
            <w:tcW w:w="992" w:type="dxa"/>
            <w:vAlign w:val="center"/>
          </w:tcPr>
          <w:p>
            <w:pPr>
              <w:tabs>
                <w:tab w:val="right" w:leader="dot" w:pos="8296"/>
              </w:tabs>
              <w:jc w:val="center"/>
              <w:rPr>
                <w:szCs w:val="21"/>
              </w:rPr>
            </w:pPr>
            <w:r>
              <w:rPr>
                <w:smallCaps/>
                <w:szCs w:val="21"/>
              </w:rPr>
              <w:t>1</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房屋与人口</w:t>
            </w:r>
          </w:p>
        </w:tc>
        <w:tc>
          <w:tcPr>
            <w:tcW w:w="709" w:type="dxa"/>
            <w:vAlign w:val="center"/>
          </w:tcPr>
          <w:p>
            <w:pPr>
              <w:tabs>
                <w:tab w:val="right" w:leader="dot" w:pos="8296"/>
              </w:tabs>
              <w:jc w:val="center"/>
              <w:rPr>
                <w:smallCaps/>
                <w:szCs w:val="21"/>
              </w:rPr>
            </w:pPr>
            <w:r>
              <w:rPr>
                <w:smallCaps/>
                <w:szCs w:val="21"/>
              </w:rPr>
              <w:t>栋/人</w:t>
            </w:r>
          </w:p>
        </w:tc>
        <w:tc>
          <w:tcPr>
            <w:tcW w:w="992" w:type="dxa"/>
            <w:vAlign w:val="center"/>
          </w:tcPr>
          <w:p>
            <w:pPr>
              <w:tabs>
                <w:tab w:val="right" w:leader="dot" w:pos="8296"/>
              </w:tabs>
              <w:jc w:val="center"/>
              <w:rPr>
                <w:smallCaps/>
                <w:szCs w:val="21"/>
              </w:rPr>
            </w:pPr>
            <w:r>
              <w:rPr>
                <w:smallCaps/>
                <w:szCs w:val="21"/>
              </w:rPr>
              <w:t>15/34</w:t>
            </w:r>
          </w:p>
        </w:tc>
        <w:tc>
          <w:tcPr>
            <w:tcW w:w="4404" w:type="dxa"/>
            <w:vAlign w:val="center"/>
          </w:tcPr>
          <w:p>
            <w:pPr>
              <w:tabs>
                <w:tab w:val="right" w:leader="dot" w:pos="8296"/>
              </w:tabs>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地质地貌点</w:t>
            </w:r>
          </w:p>
        </w:tc>
        <w:tc>
          <w:tcPr>
            <w:tcW w:w="709" w:type="dxa"/>
            <w:vAlign w:val="center"/>
          </w:tcPr>
          <w:p>
            <w:pPr>
              <w:tabs>
                <w:tab w:val="right" w:leader="dot" w:pos="8296"/>
              </w:tabs>
              <w:jc w:val="center"/>
              <w:rPr>
                <w:smallCaps/>
                <w:szCs w:val="21"/>
              </w:rPr>
            </w:pPr>
            <w:r>
              <w:rPr>
                <w:smallCaps/>
                <w:szCs w:val="21"/>
              </w:rPr>
              <w:t>个</w:t>
            </w:r>
          </w:p>
        </w:tc>
        <w:tc>
          <w:tcPr>
            <w:tcW w:w="992" w:type="dxa"/>
            <w:vAlign w:val="center"/>
          </w:tcPr>
          <w:p>
            <w:pPr>
              <w:tabs>
                <w:tab w:val="right" w:leader="dot" w:pos="8296"/>
              </w:tabs>
              <w:jc w:val="center"/>
              <w:rPr>
                <w:smallCaps/>
                <w:szCs w:val="21"/>
              </w:rPr>
            </w:pPr>
            <w:r>
              <w:rPr>
                <w:smallCaps/>
                <w:szCs w:val="21"/>
              </w:rPr>
              <w:t>6</w:t>
            </w:r>
          </w:p>
        </w:tc>
        <w:tc>
          <w:tcPr>
            <w:tcW w:w="4404" w:type="dxa"/>
            <w:vAlign w:val="center"/>
          </w:tcPr>
          <w:p>
            <w:pPr>
              <w:tabs>
                <w:tab w:val="right" w:leader="dot" w:pos="8296"/>
              </w:tabs>
              <w:jc w:val="center"/>
              <w:rPr>
                <w:smallCaps/>
                <w:szCs w:val="21"/>
              </w:rPr>
            </w:pPr>
            <w:r>
              <w:rPr>
                <w:smallCaps/>
                <w:szCs w:val="21"/>
              </w:rPr>
              <w:t>地层界线、断层、地貌点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04" w:type="dxa"/>
            <w:vMerge w:val="continue"/>
            <w:vAlign w:val="center"/>
          </w:tcPr>
          <w:p>
            <w:pPr>
              <w:tabs>
                <w:tab w:val="right" w:leader="dot" w:pos="8296"/>
              </w:tabs>
              <w:jc w:val="center"/>
              <w:rPr>
                <w:smallCaps/>
                <w:szCs w:val="21"/>
              </w:rPr>
            </w:pPr>
          </w:p>
        </w:tc>
        <w:tc>
          <w:tcPr>
            <w:tcW w:w="2126" w:type="dxa"/>
            <w:vAlign w:val="center"/>
          </w:tcPr>
          <w:p>
            <w:pPr>
              <w:tabs>
                <w:tab w:val="right" w:leader="dot" w:pos="8296"/>
              </w:tabs>
              <w:jc w:val="center"/>
              <w:rPr>
                <w:smallCaps/>
                <w:szCs w:val="21"/>
              </w:rPr>
            </w:pPr>
            <w:r>
              <w:rPr>
                <w:smallCaps/>
                <w:szCs w:val="21"/>
              </w:rPr>
              <w:t>照片</w:t>
            </w:r>
          </w:p>
        </w:tc>
        <w:tc>
          <w:tcPr>
            <w:tcW w:w="709" w:type="dxa"/>
            <w:vAlign w:val="center"/>
          </w:tcPr>
          <w:p>
            <w:pPr>
              <w:tabs>
                <w:tab w:val="right" w:leader="dot" w:pos="8296"/>
              </w:tabs>
              <w:jc w:val="center"/>
              <w:rPr>
                <w:smallCaps/>
                <w:szCs w:val="21"/>
              </w:rPr>
            </w:pPr>
            <w:r>
              <w:rPr>
                <w:szCs w:val="21"/>
              </w:rPr>
              <w:t>张</w:t>
            </w:r>
          </w:p>
        </w:tc>
        <w:tc>
          <w:tcPr>
            <w:tcW w:w="992" w:type="dxa"/>
            <w:vAlign w:val="center"/>
          </w:tcPr>
          <w:p>
            <w:pPr>
              <w:tabs>
                <w:tab w:val="right" w:leader="dot" w:pos="8296"/>
              </w:tabs>
              <w:jc w:val="center"/>
              <w:rPr>
                <w:smallCaps/>
                <w:szCs w:val="21"/>
              </w:rPr>
            </w:pPr>
            <w:r>
              <w:rPr>
                <w:szCs w:val="21"/>
              </w:rPr>
              <w:t>50</w:t>
            </w:r>
          </w:p>
        </w:tc>
        <w:tc>
          <w:tcPr>
            <w:tcW w:w="4404" w:type="dxa"/>
            <w:vAlign w:val="center"/>
          </w:tcPr>
          <w:p>
            <w:pPr>
              <w:tabs>
                <w:tab w:val="right" w:leader="dot" w:pos="8296"/>
              </w:tabs>
              <w:jc w:val="center"/>
              <w:rPr>
                <w:smallCaps/>
                <w:szCs w:val="21"/>
              </w:rPr>
            </w:pPr>
            <w:r>
              <w:rPr>
                <w:szCs w:val="21"/>
              </w:rPr>
              <w:t>采用10张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4" w:type="dxa"/>
            <w:vMerge w:val="continue"/>
            <w:vAlign w:val="center"/>
          </w:tcPr>
          <w:p>
            <w:pPr>
              <w:tabs>
                <w:tab w:val="right" w:leader="dot" w:pos="8296"/>
              </w:tabs>
              <w:spacing w:line="360" w:lineRule="auto"/>
              <w:ind w:left="210"/>
              <w:jc w:val="center"/>
              <w:rPr>
                <w:smallCaps/>
                <w:szCs w:val="21"/>
              </w:rPr>
            </w:pPr>
          </w:p>
        </w:tc>
        <w:tc>
          <w:tcPr>
            <w:tcW w:w="2126" w:type="dxa"/>
            <w:vAlign w:val="center"/>
          </w:tcPr>
          <w:p>
            <w:pPr>
              <w:tabs>
                <w:tab w:val="right" w:leader="dot" w:pos="8296"/>
              </w:tabs>
              <w:jc w:val="center"/>
              <w:rPr>
                <w:smallCaps/>
                <w:szCs w:val="21"/>
              </w:rPr>
            </w:pPr>
            <w:r>
              <w:rPr>
                <w:smallCaps/>
                <w:szCs w:val="21"/>
              </w:rPr>
              <w:t>野外调查表</w:t>
            </w:r>
          </w:p>
        </w:tc>
        <w:tc>
          <w:tcPr>
            <w:tcW w:w="709" w:type="dxa"/>
            <w:vAlign w:val="center"/>
          </w:tcPr>
          <w:p>
            <w:pPr>
              <w:tabs>
                <w:tab w:val="right" w:leader="dot" w:pos="8296"/>
              </w:tabs>
              <w:ind w:left="210"/>
              <w:rPr>
                <w:smallCaps/>
                <w:szCs w:val="21"/>
              </w:rPr>
            </w:pPr>
            <w:r>
              <w:rPr>
                <w:szCs w:val="21"/>
              </w:rPr>
              <w:t>份</w:t>
            </w:r>
          </w:p>
        </w:tc>
        <w:tc>
          <w:tcPr>
            <w:tcW w:w="992" w:type="dxa"/>
            <w:vAlign w:val="center"/>
          </w:tcPr>
          <w:p>
            <w:pPr>
              <w:tabs>
                <w:tab w:val="right" w:leader="dot" w:pos="8296"/>
              </w:tabs>
              <w:spacing w:line="240" w:lineRule="exact"/>
              <w:jc w:val="center"/>
              <w:rPr>
                <w:smallCaps/>
                <w:szCs w:val="21"/>
              </w:rPr>
            </w:pPr>
            <w:r>
              <w:rPr>
                <w:szCs w:val="21"/>
              </w:rPr>
              <w:t>3</w:t>
            </w:r>
          </w:p>
        </w:tc>
        <w:tc>
          <w:tcPr>
            <w:tcW w:w="4404" w:type="dxa"/>
            <w:vAlign w:val="center"/>
          </w:tcPr>
          <w:p>
            <w:pPr>
              <w:tabs>
                <w:tab w:val="right" w:leader="dot" w:pos="8296"/>
              </w:tabs>
              <w:ind w:left="210"/>
              <w:jc w:val="center"/>
              <w:rPr>
                <w:smallCap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4" w:type="dxa"/>
            <w:vMerge w:val="continue"/>
            <w:vAlign w:val="center"/>
          </w:tcPr>
          <w:p>
            <w:pPr>
              <w:tabs>
                <w:tab w:val="right" w:leader="dot" w:pos="8296"/>
              </w:tabs>
              <w:spacing w:line="360" w:lineRule="auto"/>
              <w:ind w:left="210"/>
              <w:jc w:val="center"/>
              <w:rPr>
                <w:smallCaps/>
                <w:szCs w:val="21"/>
              </w:rPr>
            </w:pPr>
          </w:p>
        </w:tc>
        <w:tc>
          <w:tcPr>
            <w:tcW w:w="2126" w:type="dxa"/>
            <w:vAlign w:val="center"/>
          </w:tcPr>
          <w:p>
            <w:pPr>
              <w:tabs>
                <w:tab w:val="right" w:leader="dot" w:pos="8296"/>
              </w:tabs>
              <w:jc w:val="center"/>
              <w:rPr>
                <w:smallCaps/>
                <w:szCs w:val="21"/>
              </w:rPr>
            </w:pPr>
            <w:r>
              <w:rPr>
                <w:smallCaps/>
                <w:szCs w:val="21"/>
              </w:rPr>
              <w:t>土壤、水样</w:t>
            </w:r>
          </w:p>
        </w:tc>
        <w:tc>
          <w:tcPr>
            <w:tcW w:w="709" w:type="dxa"/>
            <w:vAlign w:val="center"/>
          </w:tcPr>
          <w:p>
            <w:pPr>
              <w:tabs>
                <w:tab w:val="right" w:leader="dot" w:pos="8296"/>
              </w:tabs>
              <w:ind w:left="210"/>
              <w:rPr>
                <w:szCs w:val="21"/>
              </w:rPr>
            </w:pPr>
            <w:r>
              <w:rPr>
                <w:szCs w:val="21"/>
              </w:rPr>
              <w:t>件</w:t>
            </w:r>
          </w:p>
        </w:tc>
        <w:tc>
          <w:tcPr>
            <w:tcW w:w="992" w:type="dxa"/>
            <w:vAlign w:val="center"/>
          </w:tcPr>
          <w:p>
            <w:pPr>
              <w:tabs>
                <w:tab w:val="right" w:leader="dot" w:pos="8296"/>
              </w:tabs>
              <w:spacing w:line="240" w:lineRule="exact"/>
              <w:jc w:val="center"/>
              <w:rPr>
                <w:szCs w:val="21"/>
              </w:rPr>
            </w:pPr>
            <w:r>
              <w:rPr>
                <w:szCs w:val="21"/>
              </w:rPr>
              <w:t>2</w:t>
            </w:r>
          </w:p>
        </w:tc>
        <w:tc>
          <w:tcPr>
            <w:tcW w:w="4404" w:type="dxa"/>
            <w:vAlign w:val="center"/>
          </w:tcPr>
          <w:p>
            <w:pPr>
              <w:tabs>
                <w:tab w:val="right" w:leader="dot" w:pos="8296"/>
              </w:tabs>
              <w:ind w:left="210"/>
              <w:jc w:val="center"/>
              <w:rPr>
                <w:smallCaps/>
                <w:szCs w:val="21"/>
              </w:rPr>
            </w:pPr>
            <w:r>
              <w:rPr>
                <w:smallCaps/>
                <w:szCs w:val="21"/>
              </w:rPr>
              <w:t>土壤、水样分析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04" w:type="dxa"/>
            <w:vMerge w:val="restart"/>
            <w:vAlign w:val="center"/>
          </w:tcPr>
          <w:p>
            <w:pPr>
              <w:tabs>
                <w:tab w:val="right" w:leader="dot" w:pos="8296"/>
              </w:tabs>
              <w:jc w:val="center"/>
              <w:rPr>
                <w:smallCaps/>
                <w:szCs w:val="21"/>
              </w:rPr>
            </w:pPr>
            <w:r>
              <w:rPr>
                <w:smallCaps/>
                <w:szCs w:val="21"/>
              </w:rPr>
              <w:t>室内综合</w:t>
            </w:r>
          </w:p>
        </w:tc>
        <w:tc>
          <w:tcPr>
            <w:tcW w:w="2126" w:type="dxa"/>
            <w:vAlign w:val="center"/>
          </w:tcPr>
          <w:p>
            <w:pPr>
              <w:tabs>
                <w:tab w:val="right" w:leader="dot" w:pos="8296"/>
              </w:tabs>
              <w:jc w:val="center"/>
              <w:rPr>
                <w:smallCaps/>
                <w:szCs w:val="21"/>
              </w:rPr>
            </w:pPr>
            <w:r>
              <w:rPr>
                <w:smallCaps/>
                <w:szCs w:val="21"/>
              </w:rPr>
              <w:t>文字报告</w:t>
            </w:r>
          </w:p>
        </w:tc>
        <w:tc>
          <w:tcPr>
            <w:tcW w:w="709" w:type="dxa"/>
            <w:vAlign w:val="center"/>
          </w:tcPr>
          <w:p>
            <w:pPr>
              <w:tabs>
                <w:tab w:val="right" w:leader="dot" w:pos="8296"/>
              </w:tabs>
              <w:ind w:left="210"/>
              <w:rPr>
                <w:smallCaps/>
                <w:szCs w:val="21"/>
              </w:rPr>
            </w:pPr>
            <w:r>
              <w:rPr>
                <w:smallCaps/>
                <w:szCs w:val="21"/>
              </w:rPr>
              <w:t>份</w:t>
            </w:r>
          </w:p>
        </w:tc>
        <w:tc>
          <w:tcPr>
            <w:tcW w:w="992" w:type="dxa"/>
            <w:vAlign w:val="center"/>
          </w:tcPr>
          <w:p>
            <w:pPr>
              <w:tabs>
                <w:tab w:val="right" w:leader="dot" w:pos="8296"/>
              </w:tabs>
              <w:jc w:val="center"/>
              <w:rPr>
                <w:szCs w:val="21"/>
              </w:rPr>
            </w:pPr>
            <w:r>
              <w:rPr>
                <w:szCs w:val="21"/>
              </w:rPr>
              <w:t>1</w:t>
            </w:r>
          </w:p>
        </w:tc>
        <w:tc>
          <w:tcPr>
            <w:tcW w:w="4404" w:type="dxa"/>
            <w:vAlign w:val="center"/>
          </w:tcPr>
          <w:p>
            <w:pPr>
              <w:tabs>
                <w:tab w:val="right" w:leader="dot" w:pos="8296"/>
              </w:tabs>
              <w:jc w:val="center"/>
              <w:rPr>
                <w:smallCap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04" w:type="dxa"/>
            <w:vMerge w:val="continue"/>
            <w:vAlign w:val="center"/>
          </w:tcPr>
          <w:p>
            <w:pPr>
              <w:tabs>
                <w:tab w:val="right" w:leader="dot" w:pos="8296"/>
              </w:tabs>
              <w:ind w:left="210"/>
              <w:jc w:val="center"/>
              <w:rPr>
                <w:smallCaps/>
                <w:szCs w:val="21"/>
              </w:rPr>
            </w:pPr>
          </w:p>
        </w:tc>
        <w:tc>
          <w:tcPr>
            <w:tcW w:w="2126" w:type="dxa"/>
            <w:vAlign w:val="center"/>
          </w:tcPr>
          <w:p>
            <w:pPr>
              <w:tabs>
                <w:tab w:val="right" w:leader="dot" w:pos="8296"/>
              </w:tabs>
              <w:jc w:val="center"/>
              <w:rPr>
                <w:smallCaps/>
                <w:szCs w:val="21"/>
              </w:rPr>
            </w:pPr>
            <w:r>
              <w:rPr>
                <w:smallCaps/>
                <w:szCs w:val="21"/>
              </w:rPr>
              <w:t>附图</w:t>
            </w:r>
          </w:p>
        </w:tc>
        <w:tc>
          <w:tcPr>
            <w:tcW w:w="709" w:type="dxa"/>
            <w:vAlign w:val="center"/>
          </w:tcPr>
          <w:p>
            <w:pPr>
              <w:tabs>
                <w:tab w:val="right" w:leader="dot" w:pos="8296"/>
              </w:tabs>
              <w:ind w:left="210"/>
              <w:rPr>
                <w:smallCaps/>
                <w:szCs w:val="21"/>
              </w:rPr>
            </w:pPr>
            <w:r>
              <w:rPr>
                <w:smallCaps/>
                <w:szCs w:val="21"/>
              </w:rPr>
              <w:t>张</w:t>
            </w:r>
          </w:p>
        </w:tc>
        <w:tc>
          <w:tcPr>
            <w:tcW w:w="992" w:type="dxa"/>
            <w:vAlign w:val="center"/>
          </w:tcPr>
          <w:p>
            <w:pPr>
              <w:tabs>
                <w:tab w:val="right" w:leader="dot" w:pos="8296"/>
              </w:tabs>
              <w:jc w:val="center"/>
              <w:rPr>
                <w:szCs w:val="21"/>
              </w:rPr>
            </w:pPr>
            <w:r>
              <w:rPr>
                <w:szCs w:val="21"/>
              </w:rPr>
              <w:t>3</w:t>
            </w:r>
          </w:p>
        </w:tc>
        <w:tc>
          <w:tcPr>
            <w:tcW w:w="4404" w:type="dxa"/>
            <w:vAlign w:val="center"/>
          </w:tcPr>
          <w:p>
            <w:pPr>
              <w:tabs>
                <w:tab w:val="right" w:leader="dot" w:pos="8296"/>
              </w:tabs>
              <w:ind w:left="210"/>
              <w:jc w:val="center"/>
              <w:rPr>
                <w:smallCaps/>
                <w:szCs w:val="21"/>
              </w:rPr>
            </w:pPr>
          </w:p>
        </w:tc>
      </w:tr>
    </w:tbl>
    <w:p>
      <w:pPr>
        <w:spacing w:line="440" w:lineRule="exact"/>
        <w:ind w:firstLine="480" w:firstLineChars="200"/>
        <w:rPr>
          <w:kern w:val="0"/>
          <w:sz w:val="24"/>
        </w:rPr>
      </w:pPr>
      <w:bookmarkStart w:id="8" w:name="_Toc436833702"/>
      <w:bookmarkStart w:id="9" w:name="_Toc366676365"/>
      <w:bookmarkStart w:id="10" w:name="_Toc383852429"/>
      <w:r>
        <w:rPr>
          <w:kern w:val="0"/>
          <w:sz w:val="24"/>
        </w:rPr>
        <w:t>由上表可知，本次调查工作量中其调查点数量超过了规范中的小型矿山调查点不少于5个的调查精度要求，且按要求采取了水样，故调查工作满足本次方案编制规范的要求。</w:t>
      </w:r>
    </w:p>
    <w:p>
      <w:pPr>
        <w:pStyle w:val="5"/>
        <w:spacing w:before="120" w:after="120" w:line="400" w:lineRule="exact"/>
        <w:jc w:val="left"/>
        <w:rPr>
          <w:b w:val="0"/>
          <w:bCs w:val="0"/>
          <w:sz w:val="24"/>
        </w:rPr>
      </w:pPr>
      <w:r>
        <w:rPr>
          <w:b w:val="0"/>
          <w:bCs w:val="0"/>
          <w:sz w:val="24"/>
        </w:rPr>
        <w:t>（五）适用范围及实施年限</w:t>
      </w:r>
    </w:p>
    <w:p>
      <w:pPr>
        <w:spacing w:line="400" w:lineRule="exact"/>
        <w:ind w:firstLine="480" w:firstLineChars="200"/>
        <w:rPr>
          <w:sz w:val="24"/>
        </w:rPr>
      </w:pPr>
      <w:r>
        <w:rPr>
          <w:sz w:val="24"/>
        </w:rPr>
        <w:t>1、适用范围</w:t>
      </w:r>
    </w:p>
    <w:p>
      <w:pPr>
        <w:spacing w:line="360" w:lineRule="auto"/>
        <w:ind w:firstLine="480" w:firstLineChars="200"/>
        <w:rPr>
          <w:sz w:val="24"/>
        </w:rPr>
      </w:pPr>
      <w:r>
        <w:rPr>
          <w:sz w:val="24"/>
        </w:rPr>
        <w:t>以采矿权范围为基础，以矿山的水文地质条件、工程地质条件为主要影响因素，考虑环境地质因素，以控制水文地质单元的主要分水岭及区域最低侵蚀基准面河流作为划分依据；以矿山的生态环境作为控制因素，主要考虑植被分布情况、农田分布情况、人居因素、交通等，并结合矿山未来开采区、矿山废水排放可能导致的各类矿山生态环境问题的分布情况及其影响范围。因此，本次保护修复范围为露天采坑、矿部、工业广场</w:t>
      </w:r>
      <w:r>
        <w:rPr>
          <w:rFonts w:hint="eastAsia"/>
          <w:sz w:val="24"/>
        </w:rPr>
        <w:t>（图1-1）</w:t>
      </w:r>
      <w:r>
        <w:rPr>
          <w:sz w:val="24"/>
        </w:rPr>
        <w:t>及潜在地质灾害、环境水文地质问题其影响区、地貌景观影响范围，确定生态保护修复适用范围为，保护修复区总面积</w:t>
      </w:r>
      <w:r>
        <w:rPr>
          <w:rFonts w:hint="eastAsia"/>
          <w:sz w:val="24"/>
        </w:rPr>
        <w:t>******</w:t>
      </w:r>
      <w:r>
        <w:rPr>
          <w:sz w:val="24"/>
        </w:rPr>
        <w:t>，具体范围见附图1。</w:t>
      </w:r>
    </w:p>
    <w:p>
      <w:pPr>
        <w:spacing w:line="360" w:lineRule="auto"/>
        <w:ind w:firstLine="480" w:firstLineChars="200"/>
        <w:rPr>
          <w:sz w:val="24"/>
        </w:rPr>
      </w:pPr>
      <w:r>
        <w:rPr>
          <w:sz w:val="24"/>
        </w:rPr>
        <w:t>2、实施年限</w:t>
      </w:r>
    </w:p>
    <w:p>
      <w:pPr>
        <w:spacing w:line="360" w:lineRule="auto"/>
        <w:ind w:firstLine="480" w:firstLineChars="200"/>
        <w:jc w:val="left"/>
        <w:rPr>
          <w:sz w:val="24"/>
        </w:rPr>
      </w:pPr>
      <w:r>
        <w:rPr>
          <w:sz w:val="24"/>
        </w:rPr>
        <w:t>根据湖南城市地质调查监测所2022年12月编制的《湖南省桃江县浮邱山矿区沙田湾花岗岩矿资源开发利用方案》，该矿山设计服务年限为7.7年；考虑到矿山闭坑后生态修复期1年，加3年管护期，因此，方案设计实施年限＝矿山服务年限+修复工程实施期限+管护期＝7.7+1+3.0=11.7a（2023年3月～2034年12月）。</w:t>
      </w:r>
    </w:p>
    <w:p>
      <w:pPr>
        <w:jc w:val="center"/>
      </w:pPr>
      <w:r>
        <w:drawing>
          <wp:inline distT="0" distB="0" distL="0" distR="0">
            <wp:extent cx="5688965" cy="4608195"/>
            <wp:effectExtent l="0" t="0" r="6985" b="1905"/>
            <wp:docPr id="19" name="图片 19" descr="C:\Users\Administrator\Desktop\微信截图_2023022122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微信截图_2023022122464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88965" cy="4608195"/>
                    </a:xfrm>
                    <a:prstGeom prst="rect">
                      <a:avLst/>
                    </a:prstGeom>
                    <a:noFill/>
                    <a:ln>
                      <a:noFill/>
                    </a:ln>
                  </pic:spPr>
                </pic:pic>
              </a:graphicData>
            </a:graphic>
          </wp:inline>
        </w:drawing>
      </w:r>
    </w:p>
    <w:p>
      <w:pPr>
        <w:pStyle w:val="2"/>
        <w:ind w:firstLine="480"/>
        <w:jc w:val="center"/>
      </w:pPr>
      <w:r>
        <w:rPr>
          <w:kern w:val="0"/>
        </w:rPr>
        <w:pict>
          <v:shape id="对话气泡: 椭圆形 261" o:spid="_x0000_s1026" o:spt="63" type="#_x0000_t63" style="position:absolute;left:0pt;margin-left:278.95pt;margin-top:514.25pt;height:48.15pt;width:107.1pt;z-index:251664384;mso-width-relative:page;mso-height-relative:page;" filled="f" stroked="f" coordsize="21600,21600" o:gfxdata="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xp&#10;ftgAAAANAQAADwAAAAAAAAABACAAAAAiAAAAZHJzL2Rvd25yZXYueG1sUEsBAhQAFAAAAAgAh07i&#10;QL7heeJbAgAAfQQAAA4AAAAAAAAAAQAgAAAAJwEAAGRycy9lMm9Eb2MueG1sUEsFBgAAAAAGAAYA&#10;WQEAAPQFAAAAAA==&#10;" adj="16840,22834">
            <v:path/>
            <v:fill on="f" focussize="0,0"/>
            <v:stroke on="f" joinstyle="miter"/>
            <v:imagedata o:title=""/>
            <o:lock v:ext="edit"/>
            <v:textbox>
              <w:txbxContent>
                <w:p>
                  <w:pPr>
                    <w:ind w:firstLine="480"/>
                    <w:rPr>
                      <w:color w:val="FF0000"/>
                    </w:rPr>
                  </w:pPr>
                  <w:r>
                    <w:rPr>
                      <w:rFonts w:hint="eastAsia"/>
                      <w:color w:val="FF0000"/>
                    </w:rPr>
                    <w:t>1号排土场</w:t>
                  </w:r>
                </w:p>
                <w:p>
                  <w:pPr>
                    <w:ind w:firstLine="480"/>
                    <w:rPr>
                      <w:color w:val="FF0000"/>
                    </w:rPr>
                  </w:pPr>
                </w:p>
              </w:txbxContent>
            </v:textbox>
          </v:shape>
        </w:pict>
      </w:r>
      <w:r>
        <w:rPr>
          <w:kern w:val="0"/>
        </w:rPr>
        <w:pict>
          <v:shape id="对话气泡: 椭圆形 260" o:spid="_x0000_s1034" o:spt="63" type="#_x0000_t63" style="position:absolute;left:0pt;margin-left:278.95pt;margin-top:514.25pt;height:53.4pt;width:131.15pt;z-index:251663360;mso-width-relative:page;mso-height-relative:page;" filled="f" stroked="f" coordsize="21600,21600" o:gfxdata="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yJx&#10;UNoAAAANAQAADwAAAAAAAAABACAAAAAiAAAAZHJzL2Rvd25yZXYueG1sUEsBAhQAFAAAAAgAh07i&#10;QJK75iVZAgAAfQQAAA4AAAAAAAAAAQAgAAAAKQEAAGRycy9lMm9Eb2MueG1sUEsFBgAAAAAGAAYA&#10;WQEAAPQFAAAAAA==&#10;" adj="13752,20589">
            <v:path/>
            <v:fill on="f" focussize="0,0"/>
            <v:stroke on="f" joinstyle="miter"/>
            <v:imagedata o:title=""/>
            <o:lock v:ext="edit"/>
            <v:textbox>
              <w:txbxContent>
                <w:p>
                  <w:pPr>
                    <w:ind w:firstLine="480"/>
                    <w:rPr>
                      <w:color w:val="FF0000"/>
                    </w:rPr>
                  </w:pPr>
                  <w:r>
                    <w:rPr>
                      <w:rFonts w:hint="eastAsia"/>
                      <w:color w:val="FF0000"/>
                    </w:rPr>
                    <w:t>1号排土场</w:t>
                  </w:r>
                </w:p>
                <w:p>
                  <w:pPr>
                    <w:ind w:firstLine="480"/>
                    <w:rPr>
                      <w:color w:val="FF0000"/>
                    </w:rPr>
                  </w:pPr>
                </w:p>
              </w:txbxContent>
            </v:textbox>
          </v:shape>
        </w:pict>
      </w:r>
      <w:r>
        <w:rPr>
          <w:kern w:val="0"/>
        </w:rPr>
        <w:pict>
          <v:shape id="对话气泡: 椭圆形 248" o:spid="_x0000_s1033" o:spt="63" type="#_x0000_t63" style="position:absolute;left:0pt;margin-left:244.35pt;margin-top:612.45pt;height:53.4pt;width:88.8pt;z-index:251662336;mso-width-relative:page;mso-height-relative:page;" filled="f" stroked="f" coordsize="21600,21600" o:gfxdata="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daxH3QAAAA0BAAAPAAAAAAAAAAEAIAAAACIAAABkcnMvZG93bnJldi54bWxQSwECFAAUAAAACACH&#10;TuJAmV2Ph1gCAAB9BAAADgAAAAAAAAABACAAAAAsAQAAZHJzL2Uyb0RvYy54bWxQSwUGAAAAAAYA&#10;BgBZAQAA9gUAAAAA&#10;" adj="20311,20589">
            <v:path/>
            <v:fill on="f" focussize="0,0"/>
            <v:stroke on="f" joinstyle="miter"/>
            <v:imagedata o:title=""/>
            <o:lock v:ext="edit"/>
            <v:textbox>
              <w:txbxContent>
                <w:p>
                  <w:pPr>
                    <w:ind w:firstLine="480"/>
                    <w:rPr>
                      <w:color w:val="FF0000"/>
                    </w:rPr>
                  </w:pPr>
                  <w:r>
                    <w:rPr>
                      <w:rFonts w:hint="eastAsia"/>
                      <w:color w:val="FF0000"/>
                    </w:rPr>
                    <w:t>维修区</w:t>
                  </w:r>
                </w:p>
                <w:p>
                  <w:pPr>
                    <w:ind w:firstLine="480"/>
                    <w:rPr>
                      <w:color w:val="FF0000"/>
                    </w:rPr>
                  </w:pPr>
                </w:p>
              </w:txbxContent>
            </v:textbox>
          </v:shape>
        </w:pict>
      </w:r>
      <w:r>
        <w:t>图1-1    矿山开采区、生活、办工区全貌</w:t>
      </w:r>
    </w:p>
    <w:p>
      <w:pPr>
        <w:pStyle w:val="2"/>
      </w:pPr>
    </w:p>
    <w:p>
      <w:pPr>
        <w:pStyle w:val="2"/>
        <w:sectPr>
          <w:footerReference r:id="rId8" w:type="default"/>
          <w:pgSz w:w="11906" w:h="16838"/>
          <w:pgMar w:top="1797" w:right="1418" w:bottom="1797" w:left="1418" w:header="851" w:footer="992" w:gutter="0"/>
          <w:pgNumType w:start="1"/>
          <w:cols w:space="720" w:num="1"/>
          <w:docGrid w:type="lines" w:linePitch="312" w:charSpace="0"/>
        </w:sectPr>
      </w:pPr>
    </w:p>
    <w:bookmarkEnd w:id="8"/>
    <w:bookmarkEnd w:id="9"/>
    <w:bookmarkEnd w:id="10"/>
    <w:p>
      <w:pPr>
        <w:pStyle w:val="4"/>
        <w:spacing w:beforeLines="50" w:afterLines="50" w:line="420" w:lineRule="exact"/>
        <w:jc w:val="left"/>
        <w:rPr>
          <w:rFonts w:ascii="Times New Roman" w:hAnsi="Times New Roman" w:eastAsia="宋体"/>
          <w:b w:val="0"/>
          <w:bCs w:val="0"/>
          <w:sz w:val="28"/>
        </w:rPr>
      </w:pPr>
      <w:bookmarkStart w:id="11" w:name="_Toc436833706"/>
      <w:bookmarkStart w:id="12" w:name="_Toc366676369"/>
      <w:bookmarkStart w:id="13" w:name="_Toc383852433"/>
      <w:bookmarkStart w:id="14" w:name="_Toc205151839"/>
      <w:bookmarkStart w:id="15" w:name="_Toc244853870"/>
      <w:bookmarkStart w:id="16" w:name="_Toc130937623"/>
      <w:r>
        <w:rPr>
          <w:rFonts w:ascii="Times New Roman" w:hAnsi="Times New Roman" w:eastAsia="宋体"/>
          <w:b w:val="0"/>
          <w:bCs w:val="0"/>
          <w:sz w:val="28"/>
        </w:rPr>
        <w:t>二、</w:t>
      </w:r>
      <w:bookmarkEnd w:id="11"/>
      <w:bookmarkEnd w:id="12"/>
      <w:bookmarkEnd w:id="13"/>
      <w:bookmarkEnd w:id="14"/>
      <w:bookmarkEnd w:id="15"/>
      <w:r>
        <w:rPr>
          <w:rFonts w:ascii="Times New Roman" w:hAnsi="Times New Roman" w:eastAsia="宋体"/>
          <w:b w:val="0"/>
          <w:bCs w:val="0"/>
          <w:sz w:val="28"/>
        </w:rPr>
        <w:t>矿山基本情况</w:t>
      </w:r>
      <w:bookmarkEnd w:id="16"/>
    </w:p>
    <w:p>
      <w:pPr>
        <w:pStyle w:val="5"/>
        <w:spacing w:beforeLines="50" w:after="0" w:line="440" w:lineRule="exact"/>
        <w:jc w:val="left"/>
        <w:rPr>
          <w:b w:val="0"/>
          <w:bCs w:val="0"/>
          <w:sz w:val="24"/>
        </w:rPr>
      </w:pPr>
      <w:r>
        <w:rPr>
          <w:b w:val="0"/>
          <w:bCs w:val="0"/>
          <w:sz w:val="24"/>
        </w:rPr>
        <w:t>（一）矿山区位条件</w:t>
      </w:r>
    </w:p>
    <w:p>
      <w:pPr>
        <w:spacing w:line="440" w:lineRule="exact"/>
        <w:ind w:firstLine="480" w:firstLineChars="200"/>
        <w:rPr>
          <w:sz w:val="24"/>
        </w:rPr>
      </w:pPr>
      <w:r>
        <w:rPr>
          <w:sz w:val="24"/>
        </w:rPr>
        <w:t>1、地理位置及交通区位</w:t>
      </w:r>
    </w:p>
    <w:p>
      <w:pPr>
        <w:spacing w:line="520" w:lineRule="exact"/>
        <w:ind w:firstLine="480" w:firstLineChars="200"/>
        <w:rPr>
          <w:sz w:val="24"/>
        </w:rPr>
      </w:pPr>
      <w:bookmarkStart w:id="17" w:name="_Hlk141020482"/>
      <w:r>
        <w:rPr>
          <w:sz w:val="24"/>
        </w:rPr>
        <w:t>矿山位于桃江县城260°方位约6km处，行政区划属桃江县浮邱山乡西峰寺村管辖。矿区地理坐标：东经</w:t>
      </w:r>
      <w:r>
        <w:rPr>
          <w:rFonts w:hint="eastAsia"/>
          <w:sz w:val="24"/>
        </w:rPr>
        <w:t>*********</w:t>
      </w:r>
      <w:r>
        <w:rPr>
          <w:sz w:val="24"/>
        </w:rPr>
        <w:t>，北纬</w:t>
      </w:r>
      <w:r>
        <w:rPr>
          <w:rFonts w:hint="eastAsia"/>
          <w:sz w:val="24"/>
        </w:rPr>
        <w:t>*********</w:t>
      </w:r>
      <w:r>
        <w:rPr>
          <w:sz w:val="24"/>
        </w:rPr>
        <w:t>。面积</w:t>
      </w:r>
      <w:r>
        <w:rPr>
          <w:rFonts w:hint="eastAsia"/>
          <w:sz w:val="24"/>
        </w:rPr>
        <w:t>********。</w:t>
      </w:r>
      <w:r>
        <w:rPr>
          <w:sz w:val="24"/>
        </w:rPr>
        <w:t>矿山有乡村公路1.4km与桃江至高桥公路衔接，距桃花江镇南环线直距约2.5km，交通较方便，交通位置图见图1-</w:t>
      </w:r>
      <w:r>
        <w:rPr>
          <w:rFonts w:hint="eastAsia"/>
          <w:sz w:val="24"/>
        </w:rPr>
        <w:t>2</w:t>
      </w:r>
      <w:r>
        <w:rPr>
          <w:sz w:val="24"/>
        </w:rPr>
        <w:t>。</w:t>
      </w:r>
    </w:p>
    <w:p>
      <w:pPr>
        <w:pStyle w:val="251"/>
        <w:jc w:val="center"/>
      </w:pPr>
      <w:r>
        <w:rPr>
          <w:rFonts w:asciiTheme="minorEastAsia" w:hAnsiTheme="minorEastAsia"/>
        </w:rPr>
        <w:pict>
          <v:shape id="_x0000_s1032" o:spid="_x0000_s1032" o:spt="202" type="#_x0000_t202" style="position:absolute;left:0pt;margin-left:132.6pt;margin-top:359.45pt;height:32.6pt;width:55.5pt;z-index:251670528;mso-width-relative:page;mso-height-relative:page;" filled="f" stroked="f" coordsize="21600,21600" o:gfxdata="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pxol2AAAAAsBAAAPAAAAAAAAAAEAIAAAACIAAABkcnMvZG93bnJldi54bWxQSwEC&#10;FAAUAAAACACHTuJAislVGLsBAABkAwAADgAAAAAAAAABACAAAAAnAQAAZHJzL2Uyb0RvYy54bWxQ&#10;SwUGAAAAAAYABgBZAQAAVAUAAAAA&#10;">
            <v:path/>
            <v:fill on="f" focussize="0,0"/>
            <v:stroke on="f" joinstyle="miter"/>
            <v:imagedata o:title=""/>
            <o:lock v:ext="edit"/>
            <v:textbox>
              <w:txbxContent>
                <w:p>
                  <w:pPr>
                    <w:rPr>
                      <w:rFonts w:eastAsiaTheme="minorEastAsia"/>
                      <w:sz w:val="28"/>
                      <w:szCs w:val="28"/>
                    </w:rPr>
                  </w:pPr>
                  <w:r>
                    <w:rPr>
                      <w:rFonts w:hint="eastAsia"/>
                      <w:sz w:val="28"/>
                      <w:szCs w:val="28"/>
                    </w:rPr>
                    <w:t>图1-2</w:t>
                  </w:r>
                </w:p>
              </w:txbxContent>
            </v:textbox>
          </v:shape>
        </w:pict>
      </w:r>
      <w:r>
        <w:rPr>
          <w:rFonts w:asciiTheme="minorEastAsia" w:hAnsiTheme="minorEastAsia"/>
        </w:rPr>
        <w:pict>
          <v:rect id="_x0000_s1031" o:spid="_x0000_s1031" o:spt="1" style="position:absolute;left:0pt;margin-left:121.35pt;margin-top:184.9pt;height:7.8pt;width:9pt;z-index:251668480;mso-width-relative:page;mso-height-relative:page;" fillcolor="#FF0000" filled="t" stroked="t" coordsize="21600,21600" o:gfxdata="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k7ardsAAAALAQAADwAAAAAAAAABACAAAAAiAAAAZHJzL2Rvd25y&#10;ZXYueG1sUEsBAhQAFAAAAAgAh07iQPjQtcP7AQAAKgQAAA4AAAAAAAAAAQAgAAAAKgEAAGRycy9l&#10;Mm9Eb2MueG1sUEsFBgAAAAAGAAYAWQEAAJcFAAAAAA==&#10;">
            <v:path/>
            <v:fill on="t" focussize="0,0"/>
            <v:stroke color="#FF0000"/>
            <v:imagedata o:title=""/>
            <o:lock v:ext="edit"/>
          </v:rect>
        </w:pict>
      </w:r>
      <w:r>
        <w:rPr>
          <w:rFonts w:hint="eastAsia"/>
        </w:rPr>
        <w:drawing>
          <wp:anchor distT="0" distB="0" distL="114300" distR="114300" simplePos="0" relativeHeight="251667456" behindDoc="0" locked="0" layoutInCell="1" allowOverlap="1">
            <wp:simplePos x="0" y="0"/>
            <wp:positionH relativeFrom="column">
              <wp:posOffset>196850</wp:posOffset>
            </wp:positionH>
            <wp:positionV relativeFrom="paragraph">
              <wp:posOffset>118110</wp:posOffset>
            </wp:positionV>
            <wp:extent cx="5355590" cy="6172200"/>
            <wp:effectExtent l="0" t="0" r="16510" b="0"/>
            <wp:wrapTopAndBottom/>
            <wp:docPr id="3" name="Picture 28" descr="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交通位置图"/>
                    <pic:cNvPicPr>
                      <a:picLocks noChangeAspect="1"/>
                    </pic:cNvPicPr>
                  </pic:nvPicPr>
                  <pic:blipFill>
                    <a:blip r:embed="rId25"/>
                    <a:srcRect l="6059" t="7524" r="6946" b="7755"/>
                    <a:stretch>
                      <a:fillRect/>
                    </a:stretch>
                  </pic:blipFill>
                  <pic:spPr>
                    <a:xfrm>
                      <a:off x="0" y="0"/>
                      <a:ext cx="5355590" cy="6172200"/>
                    </a:xfrm>
                    <a:prstGeom prst="rect">
                      <a:avLst/>
                    </a:prstGeom>
                    <a:noFill/>
                    <a:ln w="9525">
                      <a:noFill/>
                    </a:ln>
                  </pic:spPr>
                </pic:pic>
              </a:graphicData>
            </a:graphic>
          </wp:anchor>
        </w:drawing>
      </w:r>
      <w:r>
        <w:rPr>
          <w:rFonts w:asciiTheme="minorEastAsia" w:hAnsiTheme="minorEastAsia"/>
        </w:rPr>
        <w:pict>
          <v:shape id="_x0000_s1030" o:spid="_x0000_s1030" o:spt="202" type="#_x0000_t202" style="position:absolute;left:0pt;margin-left:115.35pt;margin-top:147.3pt;height:23.4pt;width:69pt;z-index:251669504;mso-width-relative:page;mso-height-relative:page;" filled="f" stroked="f" coordsize="21600,21600" o:gfxdata="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q0O+PcAAAACwEAAA8AAAAAAAAAAQAgAAAAIgAAAGRycy9kb3ducmV2&#10;LnhtbFBLAQIUABQAAAAIAIdO4kCjJdJn+AEAAPIDAAAOAAAAAAAAAAEAIAAAACsBAABkcnMvZTJv&#10;RG9jLnhtbFBLBQYAAAAABgAGAFkBAACVBQAAAAA=&#10;">
            <v:path/>
            <v:fill on="f" focussize="0,0"/>
            <v:stroke on="f" weight="2pt" joinstyle="miter"/>
            <v:imagedata o:title=""/>
            <o:lock v:ext="edit"/>
            <v:textbox>
              <w:txbxContent>
                <w:p>
                  <w:r>
                    <w:rPr>
                      <w:rFonts w:hint="eastAsia"/>
                    </w:rPr>
                    <w:t>矿区位置</w:t>
                  </w:r>
                </w:p>
                <w:p>
                  <w:pPr>
                    <w:ind w:firstLine="480"/>
                  </w:pPr>
                </w:p>
              </w:txbxContent>
            </v:textbox>
          </v:shape>
        </w:pict>
      </w:r>
    </w:p>
    <w:p>
      <w:pPr>
        <w:spacing w:line="520" w:lineRule="exact"/>
        <w:ind w:firstLine="480" w:firstLineChars="200"/>
        <w:rPr>
          <w:sz w:val="24"/>
        </w:rPr>
      </w:pPr>
      <w:r>
        <w:rPr>
          <w:sz w:val="24"/>
        </w:rPr>
        <w:t>2、有关规划符合情况</w:t>
      </w:r>
    </w:p>
    <w:p>
      <w:pPr>
        <w:spacing w:line="360" w:lineRule="auto"/>
        <w:ind w:firstLine="480" w:firstLineChars="200"/>
        <w:rPr>
          <w:sz w:val="24"/>
        </w:rPr>
      </w:pPr>
      <w:r>
        <w:rPr>
          <w:sz w:val="24"/>
        </w:rPr>
        <w:t>矿山开采不涉及禁止、限制性开采矿种和国家总量调控开采矿种，矿区范围位于《桃江县普通建筑材料用砂石土矿专项规划（2019-2025年）》规划区块范围，矿权设置符合《益阳市矿产资源总体规划（2020-2025年）》要求。该区矿产资源总体规划开采规模为</w:t>
      </w:r>
      <w:r>
        <w:rPr>
          <w:rFonts w:hint="eastAsia"/>
          <w:sz w:val="24"/>
        </w:rPr>
        <w:t>****</w:t>
      </w:r>
      <w:r>
        <w:rPr>
          <w:sz w:val="24"/>
        </w:rPr>
        <w:t xml:space="preserve">万吨/a，开采回采率为 </w:t>
      </w:r>
      <w:r>
        <w:rPr>
          <w:rFonts w:hint="eastAsia"/>
          <w:sz w:val="24"/>
        </w:rPr>
        <w:t>*****</w:t>
      </w:r>
      <w:r>
        <w:rPr>
          <w:sz w:val="24"/>
        </w:rPr>
        <w:t>。据第三次全国国土调查土地利用现状成果，矿区范围现状地类为工矿用地及林地，周边主要为林地。矿区范围无基本农田、耕地。据调查，矿区范围与重大工程建设规划区、生态红线、各类自然保护区和风景名胜区无重叠，对矿山资源开发利用无影响</w:t>
      </w:r>
      <w:r>
        <w:rPr>
          <w:rFonts w:hint="eastAsia"/>
          <w:sz w:val="24"/>
        </w:rPr>
        <w:t>（图1-3）</w:t>
      </w:r>
      <w:r>
        <w:rPr>
          <w:sz w:val="24"/>
        </w:rPr>
        <w:t>。</w:t>
      </w:r>
    </w:p>
    <w:p>
      <w:pPr>
        <w:jc w:val="center"/>
        <w:rPr>
          <w:b/>
          <w:bCs/>
        </w:rPr>
      </w:pPr>
      <w:r>
        <w:drawing>
          <wp:anchor distT="0" distB="0" distL="114300" distR="114300" simplePos="0" relativeHeight="251665408" behindDoc="0" locked="0" layoutInCell="1" allowOverlap="1">
            <wp:simplePos x="0" y="0"/>
            <wp:positionH relativeFrom="column">
              <wp:posOffset>233680</wp:posOffset>
            </wp:positionH>
            <wp:positionV relativeFrom="paragraph">
              <wp:posOffset>32385</wp:posOffset>
            </wp:positionV>
            <wp:extent cx="5376545" cy="3804920"/>
            <wp:effectExtent l="0" t="0" r="14605" b="5080"/>
            <wp:wrapTopAndBottom/>
            <wp:docPr id="1" name="图片 1" descr="568fa7446859c8b90dcb64277b79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8fa7446859c8b90dcb64277b79d65"/>
                    <pic:cNvPicPr>
                      <a:picLocks noChangeAspect="1"/>
                    </pic:cNvPicPr>
                  </pic:nvPicPr>
                  <pic:blipFill>
                    <a:blip r:embed="rId26"/>
                    <a:stretch>
                      <a:fillRect/>
                    </a:stretch>
                  </pic:blipFill>
                  <pic:spPr>
                    <a:xfrm>
                      <a:off x="0" y="0"/>
                      <a:ext cx="5376545" cy="3804920"/>
                    </a:xfrm>
                    <a:prstGeom prst="rect">
                      <a:avLst/>
                    </a:prstGeom>
                  </pic:spPr>
                </pic:pic>
              </a:graphicData>
            </a:graphic>
          </wp:anchor>
        </w:drawing>
      </w:r>
      <w:r>
        <w:rPr>
          <w:b/>
          <w:bCs/>
        </w:rPr>
        <w:t>图1-</w:t>
      </w:r>
      <w:r>
        <w:rPr>
          <w:rFonts w:hint="eastAsia"/>
          <w:b/>
          <w:bCs/>
        </w:rPr>
        <w:t>3</w:t>
      </w:r>
      <w:r>
        <w:rPr>
          <w:b/>
          <w:bCs/>
        </w:rPr>
        <w:t xml:space="preserve">  三区三线套合图</w:t>
      </w:r>
    </w:p>
    <w:p>
      <w:pPr>
        <w:spacing w:line="360" w:lineRule="auto"/>
        <w:ind w:firstLine="480" w:firstLineChars="200"/>
        <w:rPr>
          <w:sz w:val="24"/>
        </w:rPr>
      </w:pPr>
      <w:r>
        <w:rPr>
          <w:sz w:val="24"/>
        </w:rPr>
        <w:t>目前矿山四周一定范围内无矿业权，无矿权纠纷。矿山现采用露天开采方式，自上而下台阶式开采，因矿区周边民房多，选用：垂直切割～水平凿眼～楔钉锤击分离～装载机装载的采矿方法，该采矿方法较机械开采而言效率高，且可将部分未风化花岗岩综合利用生产附加值相对较高的荒料，符合现行产业政策。</w:t>
      </w:r>
    </w:p>
    <w:bookmarkEnd w:id="17"/>
    <w:p>
      <w:pPr>
        <w:pStyle w:val="5"/>
        <w:spacing w:beforeLines="50" w:after="0" w:line="440" w:lineRule="exact"/>
        <w:jc w:val="left"/>
        <w:rPr>
          <w:b w:val="0"/>
          <w:bCs w:val="0"/>
          <w:sz w:val="24"/>
        </w:rPr>
      </w:pPr>
      <w:r>
        <w:rPr>
          <w:b w:val="0"/>
          <w:bCs w:val="0"/>
          <w:sz w:val="24"/>
        </w:rPr>
        <w:t>（二）矿权设置</w:t>
      </w:r>
    </w:p>
    <w:p>
      <w:pPr>
        <w:spacing w:line="520" w:lineRule="exact"/>
        <w:ind w:firstLine="480" w:firstLineChars="200"/>
        <w:rPr>
          <w:sz w:val="24"/>
        </w:rPr>
      </w:pPr>
      <w:r>
        <w:rPr>
          <w:sz w:val="24"/>
        </w:rPr>
        <w:t>采矿许可证由桃江县自然资源局于2019年6月颁发，采矿权人：桃江县金桥石业有限公司；采矿许可证号：</w:t>
      </w:r>
      <w:r>
        <w:rPr>
          <w:rFonts w:hint="eastAsia"/>
          <w:sz w:val="24"/>
        </w:rPr>
        <w:t>****************</w:t>
      </w:r>
      <w:r>
        <w:rPr>
          <w:sz w:val="24"/>
        </w:rPr>
        <w:t>；经济类型：有限责任公司；开采矿种：花岗岩；开采方式：露天开采；生产规模：</w:t>
      </w:r>
      <w:r>
        <w:rPr>
          <w:rFonts w:hint="eastAsia"/>
          <w:sz w:val="24"/>
        </w:rPr>
        <w:t>******</w:t>
      </w:r>
      <w:r>
        <w:rPr>
          <w:sz w:val="24"/>
        </w:rPr>
        <w:t>万立方米/年；矿区面积：</w:t>
      </w:r>
      <w:r>
        <w:rPr>
          <w:rFonts w:hint="eastAsia"/>
          <w:sz w:val="24"/>
        </w:rPr>
        <w:t>****</w:t>
      </w:r>
      <w:r>
        <w:rPr>
          <w:sz w:val="24"/>
        </w:rPr>
        <w:t>km²；有效期自2019年6月17日至2023年6月3日。矿区范围由9个拐点圈定，开采深度：</w:t>
      </w:r>
      <w:r>
        <w:rPr>
          <w:rFonts w:hint="eastAsia"/>
          <w:sz w:val="24"/>
        </w:rPr>
        <w:t>************</w:t>
      </w:r>
      <w:r>
        <w:rPr>
          <w:sz w:val="24"/>
        </w:rPr>
        <w:t>标高。矿区范围拐点、面积、开采深度见表1-2。</w:t>
      </w:r>
    </w:p>
    <w:p>
      <w:pPr>
        <w:jc w:val="center"/>
        <w:rPr>
          <w:sz w:val="22"/>
          <w:szCs w:val="22"/>
        </w:rPr>
      </w:pPr>
      <w:r>
        <w:rPr>
          <w:sz w:val="22"/>
          <w:szCs w:val="22"/>
        </w:rPr>
        <w:t>表1-2   矿区范围坐标表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967"/>
        <w:gridCol w:w="3275"/>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 w:hRule="atLeast"/>
          <w:tblHeader/>
          <w:jc w:val="center"/>
        </w:trPr>
        <w:tc>
          <w:tcPr>
            <w:tcW w:w="1098" w:type="pct"/>
            <w:vMerge w:val="restart"/>
            <w:vAlign w:val="center"/>
          </w:tcPr>
          <w:p>
            <w:pPr>
              <w:pStyle w:val="78"/>
              <w:rPr>
                <w:rFonts w:ascii="Times New Roman" w:hAnsi="Times New Roman" w:cs="Times New Roman"/>
              </w:rPr>
            </w:pPr>
            <w:r>
              <w:rPr>
                <w:rFonts w:ascii="Times New Roman" w:hAnsi="Times New Roman" w:cs="Times New Roman"/>
              </w:rPr>
              <w:t>拐点</w:t>
            </w:r>
          </w:p>
        </w:tc>
        <w:tc>
          <w:tcPr>
            <w:tcW w:w="3902" w:type="pct"/>
            <w:gridSpan w:val="2"/>
            <w:vAlign w:val="center"/>
          </w:tcPr>
          <w:p>
            <w:pPr>
              <w:pStyle w:val="78"/>
              <w:rPr>
                <w:rFonts w:ascii="Times New Roman" w:hAnsi="Times New Roman" w:cs="Times New Roman"/>
                <w:lang w:eastAsia="zh-CN"/>
              </w:rPr>
            </w:pPr>
            <w:r>
              <w:rPr>
                <w:rFonts w:ascii="Times New Roman" w:hAnsi="Times New Roman" w:cs="Times New Roman"/>
                <w:lang w:eastAsia="zh-CN"/>
              </w:rPr>
              <w:t>拐点坐标（2000国家大地坐标系）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 w:hRule="atLeast"/>
          <w:tblHeader/>
          <w:jc w:val="center"/>
        </w:trPr>
        <w:tc>
          <w:tcPr>
            <w:tcW w:w="1098" w:type="pct"/>
            <w:vMerge w:val="continue"/>
            <w:vAlign w:val="center"/>
          </w:tcPr>
          <w:p>
            <w:pPr>
              <w:pStyle w:val="78"/>
              <w:rPr>
                <w:rFonts w:ascii="Times New Roman" w:hAnsi="Times New Roman" w:cs="Times New Roman"/>
                <w:lang w:eastAsia="zh-CN"/>
              </w:rPr>
            </w:pPr>
          </w:p>
        </w:tc>
        <w:tc>
          <w:tcPr>
            <w:tcW w:w="1828" w:type="pct"/>
            <w:vAlign w:val="center"/>
          </w:tcPr>
          <w:p>
            <w:pPr>
              <w:pStyle w:val="78"/>
              <w:rPr>
                <w:rFonts w:ascii="Times New Roman" w:hAnsi="Times New Roman" w:cs="Times New Roman"/>
              </w:rPr>
            </w:pPr>
            <w:r>
              <w:rPr>
                <w:rFonts w:ascii="Times New Roman" w:hAnsi="Times New Roman" w:cs="Times New Roman"/>
              </w:rPr>
              <w:t>X</w:t>
            </w:r>
          </w:p>
        </w:tc>
        <w:tc>
          <w:tcPr>
            <w:tcW w:w="2074" w:type="pct"/>
            <w:vAlign w:val="center"/>
          </w:tcPr>
          <w:p>
            <w:pPr>
              <w:pStyle w:val="78"/>
              <w:rPr>
                <w:rFonts w:ascii="Times New Roman" w:hAnsi="Times New Roman" w:cs="Times New Roman"/>
              </w:rPr>
            </w:pPr>
            <w:r>
              <w:rPr>
                <w:rFonts w:ascii="Times New Roman" w:hAnsi="Times New Roman" w:cs="Times New Roma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rPr>
            </w:pPr>
            <w:r>
              <w:rPr>
                <w:rFonts w:ascii="Times New Roman" w:hAnsi="Times New Roman" w:cs="Times New Roman"/>
              </w:rPr>
              <w:t>1</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rPr>
            </w:pPr>
            <w:r>
              <w:rPr>
                <w:rFonts w:ascii="Times New Roman" w:hAnsi="Times New Roman" w:cs="Times New Roman"/>
              </w:rPr>
              <w:t>2</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rPr>
              <w:t>3</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rPr>
              <w:t>4</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lang w:eastAsia="zh-CN"/>
              </w:rPr>
              <w:t>5</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lang w:eastAsia="zh-CN"/>
              </w:rPr>
              <w:t>6</w:t>
            </w:r>
          </w:p>
        </w:tc>
        <w:tc>
          <w:tcPr>
            <w:tcW w:w="3275"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3717"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lang w:eastAsia="zh-CN"/>
              </w:rPr>
              <w:t>7</w:t>
            </w:r>
          </w:p>
        </w:tc>
        <w:tc>
          <w:tcPr>
            <w:tcW w:w="3275"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3717"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lang w:eastAsia="zh-CN"/>
              </w:rPr>
              <w:t>8</w:t>
            </w:r>
          </w:p>
        </w:tc>
        <w:tc>
          <w:tcPr>
            <w:tcW w:w="3275"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3717" w:type="dxa"/>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1098" w:type="pct"/>
            <w:vAlign w:val="center"/>
          </w:tcPr>
          <w:p>
            <w:pPr>
              <w:pStyle w:val="78"/>
              <w:rPr>
                <w:rFonts w:ascii="Times New Roman" w:hAnsi="Times New Roman" w:cs="Times New Roman"/>
                <w:lang w:eastAsia="zh-CN"/>
              </w:rPr>
            </w:pPr>
            <w:r>
              <w:rPr>
                <w:rFonts w:ascii="Times New Roman" w:hAnsi="Times New Roman" w:cs="Times New Roman"/>
                <w:lang w:eastAsia="zh-CN"/>
              </w:rPr>
              <w:t>9</w:t>
            </w:r>
          </w:p>
        </w:tc>
        <w:tc>
          <w:tcPr>
            <w:tcW w:w="1828"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c>
          <w:tcPr>
            <w:tcW w:w="2074" w:type="pct"/>
            <w:vAlign w:val="center"/>
          </w:tcPr>
          <w:p>
            <w:pPr>
              <w:pStyle w:val="78"/>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00" w:type="pct"/>
            <w:gridSpan w:val="3"/>
            <w:vAlign w:val="center"/>
          </w:tcPr>
          <w:p>
            <w:pPr>
              <w:pStyle w:val="78"/>
              <w:rPr>
                <w:rFonts w:ascii="Times New Roman" w:hAnsi="Times New Roman" w:cs="Times New Roman"/>
                <w:lang w:eastAsia="zh-CN"/>
              </w:rPr>
            </w:pPr>
            <w:r>
              <w:rPr>
                <w:rFonts w:ascii="Times New Roman" w:hAnsi="Times New Roman" w:cs="Times New Roman"/>
                <w:lang w:eastAsia="zh-CN"/>
              </w:rPr>
              <w:t>面积：</w:t>
            </w:r>
            <w:r>
              <w:rPr>
                <w:rFonts w:hint="eastAsia" w:ascii="Times New Roman" w:hAnsi="Times New Roman" w:cs="Times New Roman"/>
                <w:lang w:eastAsia="zh-CN"/>
              </w:rPr>
              <w:t>********</w:t>
            </w:r>
            <w:r>
              <w:rPr>
                <w:rFonts w:ascii="Times New Roman" w:hAnsi="Times New Roman" w:cs="Times New Roman"/>
                <w:lang w:eastAsia="zh-CN"/>
              </w:rPr>
              <w:t>平方公里，开采深度：</w:t>
            </w:r>
            <w:r>
              <w:rPr>
                <w:rFonts w:hint="eastAsia" w:ascii="Times New Roman" w:hAnsi="Times New Roman" w:cs="Times New Roman"/>
                <w:lang w:eastAsia="zh-CN"/>
              </w:rPr>
              <w:t>*************</w:t>
            </w:r>
            <w:r>
              <w:rPr>
                <w:rFonts w:ascii="Times New Roman" w:hAnsi="Times New Roman" w:cs="Times New Roman"/>
                <w:lang w:eastAsia="zh-CN"/>
              </w:rPr>
              <w:t>m</w:t>
            </w:r>
          </w:p>
        </w:tc>
      </w:tr>
    </w:tbl>
    <w:p>
      <w:pPr>
        <w:pStyle w:val="5"/>
        <w:spacing w:beforeLines="50" w:after="0" w:line="440" w:lineRule="exact"/>
        <w:jc w:val="left"/>
        <w:rPr>
          <w:b w:val="0"/>
          <w:bCs w:val="0"/>
          <w:sz w:val="24"/>
        </w:rPr>
      </w:pPr>
      <w:r>
        <w:rPr>
          <w:b w:val="0"/>
          <w:bCs w:val="0"/>
          <w:sz w:val="24"/>
        </w:rPr>
        <w:t>（三）矿床特征及资源储量</w:t>
      </w:r>
    </w:p>
    <w:p>
      <w:pPr>
        <w:spacing w:line="360" w:lineRule="auto"/>
        <w:ind w:firstLine="480" w:firstLineChars="200"/>
        <w:jc w:val="left"/>
        <w:rPr>
          <w:sz w:val="24"/>
        </w:rPr>
      </w:pPr>
      <w:r>
        <w:rPr>
          <w:sz w:val="24"/>
        </w:rPr>
        <w:t>1、矿床特征</w:t>
      </w:r>
    </w:p>
    <w:p>
      <w:pPr>
        <w:spacing w:line="360" w:lineRule="auto"/>
        <w:ind w:firstLine="480" w:firstLineChars="200"/>
        <w:rPr>
          <w:sz w:val="24"/>
        </w:rPr>
      </w:pPr>
      <w:r>
        <w:rPr>
          <w:sz w:val="24"/>
        </w:rPr>
        <w:t>矿区内出露加里东晚期第二次侵入体桃江岩体（γδ</w:t>
      </w:r>
      <w:r>
        <w:rPr>
          <w:sz w:val="24"/>
          <w:vertAlign w:val="subscript"/>
        </w:rPr>
        <w:t>3</w:t>
      </w:r>
      <w:r>
        <w:rPr>
          <w:sz w:val="24"/>
          <w:vertAlign w:val="superscript"/>
        </w:rPr>
        <w:t>3-2c</w:t>
      </w:r>
      <w:r>
        <w:rPr>
          <w:sz w:val="24"/>
        </w:rPr>
        <w:t>）c带，岩性为细中—中粒角闪石黑云母花岗闪长岩，为矿山开采的主要对象。矿区内矿体呈北东向展布，出露长约</w:t>
      </w:r>
      <w:r>
        <w:rPr>
          <w:rFonts w:hint="eastAsia"/>
          <w:sz w:val="24"/>
        </w:rPr>
        <w:t>***</w:t>
      </w:r>
      <w:r>
        <w:rPr>
          <w:sz w:val="24"/>
        </w:rPr>
        <w:t>m，宽约</w:t>
      </w:r>
      <w:r>
        <w:rPr>
          <w:rFonts w:hint="eastAsia"/>
          <w:sz w:val="24"/>
        </w:rPr>
        <w:t>***</w:t>
      </w:r>
      <w:r>
        <w:rPr>
          <w:sz w:val="24"/>
        </w:rPr>
        <w:t>m。残坡积层下为花岗岩的风化层，平均厚度为</w:t>
      </w:r>
      <w:r>
        <w:rPr>
          <w:rFonts w:hint="eastAsia"/>
          <w:sz w:val="24"/>
        </w:rPr>
        <w:t>***</w:t>
      </w:r>
      <w:r>
        <w:rPr>
          <w:sz w:val="24"/>
        </w:rPr>
        <w:t>m，可作建筑用砂综合利用。矿体出露最高标高为</w:t>
      </w:r>
      <w:r>
        <w:rPr>
          <w:rFonts w:hint="eastAsia"/>
          <w:sz w:val="24"/>
        </w:rPr>
        <w:t>********</w:t>
      </w:r>
      <w:r>
        <w:rPr>
          <w:sz w:val="24"/>
        </w:rPr>
        <w:t>m，最低可采标高控制在</w:t>
      </w:r>
      <w:r>
        <w:rPr>
          <w:rFonts w:hint="eastAsia"/>
          <w:sz w:val="24"/>
        </w:rPr>
        <w:t>******</w:t>
      </w:r>
      <w:r>
        <w:rPr>
          <w:sz w:val="24"/>
        </w:rPr>
        <w:t>m。将矿界范围内分为2个矿体，即花岗岩基岩和建筑用砂。</w:t>
      </w:r>
    </w:p>
    <w:p>
      <w:pPr>
        <w:spacing w:line="360" w:lineRule="auto"/>
        <w:ind w:firstLine="480" w:firstLineChars="200"/>
        <w:jc w:val="left"/>
        <w:rPr>
          <w:sz w:val="24"/>
        </w:rPr>
      </w:pPr>
      <w:bookmarkStart w:id="18" w:name="_Hlk54777514"/>
      <w:r>
        <w:rPr>
          <w:sz w:val="24"/>
        </w:rPr>
        <w:t>2、矿石特征</w:t>
      </w:r>
    </w:p>
    <w:p>
      <w:pPr>
        <w:spacing w:line="360" w:lineRule="auto"/>
        <w:ind w:firstLine="480" w:firstLineChars="200"/>
        <w:rPr>
          <w:sz w:val="24"/>
        </w:rPr>
      </w:pPr>
      <w:r>
        <w:rPr>
          <w:sz w:val="24"/>
        </w:rPr>
        <w:t>（1）矿石物质组成</w:t>
      </w:r>
    </w:p>
    <w:p>
      <w:pPr>
        <w:spacing w:line="360" w:lineRule="auto"/>
        <w:ind w:firstLine="480" w:firstLineChars="200"/>
        <w:rPr>
          <w:sz w:val="24"/>
        </w:rPr>
      </w:pPr>
      <w:r>
        <w:rPr>
          <w:sz w:val="24"/>
        </w:rPr>
        <w:t>根据《核实报告》，矿石的主要成分为石英、钾长石、斜长石，次为角闪石、黑云母等</w:t>
      </w:r>
      <w:r>
        <w:rPr>
          <w:rFonts w:hint="eastAsia"/>
          <w:sz w:val="24"/>
        </w:rPr>
        <w:t>（表1-3）</w:t>
      </w:r>
      <w:r>
        <w:rPr>
          <w:sz w:val="24"/>
        </w:rPr>
        <w:t>。矿石化学成分含量满足建筑用碎石岩类一般工业指标要求。</w:t>
      </w:r>
    </w:p>
    <w:p>
      <w:pPr>
        <w:jc w:val="center"/>
      </w:pPr>
      <w:r>
        <w:rPr>
          <w:sz w:val="22"/>
          <w:szCs w:val="22"/>
        </w:rPr>
        <w:t>表1-3   矿石化学成分分析结果表</w:t>
      </w:r>
    </w:p>
    <w:tbl>
      <w:tblPr>
        <w:tblStyle w:val="34"/>
        <w:tblpPr w:leftFromText="180" w:rightFromText="180" w:vertAnchor="text" w:horzAnchor="page" w:tblpX="1620" w:tblpY="15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847"/>
        <w:gridCol w:w="628"/>
        <w:gridCol w:w="628"/>
        <w:gridCol w:w="629"/>
        <w:gridCol w:w="629"/>
        <w:gridCol w:w="629"/>
        <w:gridCol w:w="629"/>
        <w:gridCol w:w="631"/>
        <w:gridCol w:w="631"/>
        <w:gridCol w:w="631"/>
        <w:gridCol w:w="828"/>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31" w:type="pct"/>
            <w:vAlign w:val="center"/>
          </w:tcPr>
          <w:p>
            <w:pPr>
              <w:jc w:val="center"/>
              <w:rPr>
                <w:w w:val="80"/>
                <w:szCs w:val="21"/>
              </w:rPr>
            </w:pPr>
            <w:r>
              <w:rPr>
                <w:w w:val="80"/>
                <w:szCs w:val="21"/>
              </w:rPr>
              <w:t>岩体</w:t>
            </w:r>
          </w:p>
        </w:tc>
        <w:tc>
          <w:tcPr>
            <w:tcW w:w="464" w:type="pct"/>
            <w:vAlign w:val="center"/>
          </w:tcPr>
          <w:p>
            <w:pPr>
              <w:jc w:val="center"/>
              <w:rPr>
                <w:w w:val="80"/>
                <w:szCs w:val="21"/>
              </w:rPr>
            </w:pPr>
            <w:r>
              <w:rPr>
                <w:w w:val="80"/>
                <w:szCs w:val="21"/>
              </w:rPr>
              <w:t>SiO</w:t>
            </w:r>
            <w:r>
              <w:rPr>
                <w:w w:val="80"/>
                <w:szCs w:val="21"/>
                <w:vertAlign w:val="subscript"/>
              </w:rPr>
              <w:t>2</w:t>
            </w:r>
          </w:p>
        </w:tc>
        <w:tc>
          <w:tcPr>
            <w:tcW w:w="344" w:type="pct"/>
            <w:vAlign w:val="center"/>
          </w:tcPr>
          <w:p>
            <w:pPr>
              <w:jc w:val="center"/>
              <w:rPr>
                <w:w w:val="80"/>
                <w:szCs w:val="21"/>
              </w:rPr>
            </w:pPr>
            <w:r>
              <w:rPr>
                <w:w w:val="80"/>
                <w:szCs w:val="21"/>
              </w:rPr>
              <w:t>Al</w:t>
            </w:r>
            <w:r>
              <w:rPr>
                <w:w w:val="80"/>
                <w:szCs w:val="21"/>
                <w:vertAlign w:val="subscript"/>
              </w:rPr>
              <w:t>2</w:t>
            </w:r>
            <w:r>
              <w:rPr>
                <w:w w:val="80"/>
                <w:szCs w:val="21"/>
              </w:rPr>
              <w:t>O</w:t>
            </w:r>
            <w:r>
              <w:rPr>
                <w:w w:val="80"/>
                <w:szCs w:val="21"/>
                <w:vertAlign w:val="subscript"/>
              </w:rPr>
              <w:t>3</w:t>
            </w:r>
          </w:p>
        </w:tc>
        <w:tc>
          <w:tcPr>
            <w:tcW w:w="344" w:type="pct"/>
            <w:vAlign w:val="center"/>
          </w:tcPr>
          <w:p>
            <w:pPr>
              <w:jc w:val="center"/>
              <w:rPr>
                <w:w w:val="80"/>
                <w:szCs w:val="21"/>
              </w:rPr>
            </w:pPr>
            <w:r>
              <w:rPr>
                <w:w w:val="80"/>
                <w:szCs w:val="21"/>
              </w:rPr>
              <w:t>Fe</w:t>
            </w:r>
            <w:r>
              <w:rPr>
                <w:w w:val="80"/>
                <w:szCs w:val="21"/>
                <w:vertAlign w:val="subscript"/>
              </w:rPr>
              <w:t>2</w:t>
            </w:r>
            <w:r>
              <w:rPr>
                <w:w w:val="80"/>
                <w:szCs w:val="21"/>
              </w:rPr>
              <w:t>O</w:t>
            </w:r>
            <w:r>
              <w:rPr>
                <w:w w:val="80"/>
                <w:szCs w:val="21"/>
                <w:vertAlign w:val="subscript"/>
              </w:rPr>
              <w:t>3</w:t>
            </w:r>
          </w:p>
        </w:tc>
        <w:tc>
          <w:tcPr>
            <w:tcW w:w="344" w:type="pct"/>
            <w:vAlign w:val="center"/>
          </w:tcPr>
          <w:p>
            <w:pPr>
              <w:jc w:val="center"/>
              <w:rPr>
                <w:w w:val="80"/>
                <w:szCs w:val="21"/>
              </w:rPr>
            </w:pPr>
            <w:r>
              <w:rPr>
                <w:w w:val="80"/>
                <w:szCs w:val="21"/>
              </w:rPr>
              <w:t>CaO</w:t>
            </w:r>
          </w:p>
        </w:tc>
        <w:tc>
          <w:tcPr>
            <w:tcW w:w="344" w:type="pct"/>
            <w:vAlign w:val="center"/>
          </w:tcPr>
          <w:p>
            <w:pPr>
              <w:jc w:val="center"/>
              <w:rPr>
                <w:w w:val="80"/>
                <w:szCs w:val="21"/>
              </w:rPr>
            </w:pPr>
            <w:r>
              <w:rPr>
                <w:w w:val="80"/>
                <w:szCs w:val="21"/>
              </w:rPr>
              <w:t>MgO</w:t>
            </w:r>
          </w:p>
        </w:tc>
        <w:tc>
          <w:tcPr>
            <w:tcW w:w="344" w:type="pct"/>
            <w:vAlign w:val="center"/>
          </w:tcPr>
          <w:p>
            <w:pPr>
              <w:jc w:val="center"/>
              <w:rPr>
                <w:w w:val="80"/>
                <w:szCs w:val="21"/>
              </w:rPr>
            </w:pPr>
            <w:r>
              <w:rPr>
                <w:w w:val="80"/>
                <w:szCs w:val="21"/>
              </w:rPr>
              <w:t>Na</w:t>
            </w:r>
            <w:r>
              <w:rPr>
                <w:w w:val="80"/>
                <w:szCs w:val="21"/>
                <w:vertAlign w:val="subscript"/>
              </w:rPr>
              <w:t>2</w:t>
            </w:r>
            <w:r>
              <w:rPr>
                <w:w w:val="80"/>
                <w:szCs w:val="21"/>
              </w:rPr>
              <w:t>O</w:t>
            </w:r>
          </w:p>
        </w:tc>
        <w:tc>
          <w:tcPr>
            <w:tcW w:w="344" w:type="pct"/>
            <w:vAlign w:val="center"/>
          </w:tcPr>
          <w:p>
            <w:pPr>
              <w:jc w:val="center"/>
              <w:rPr>
                <w:w w:val="80"/>
                <w:szCs w:val="21"/>
              </w:rPr>
            </w:pPr>
            <w:r>
              <w:rPr>
                <w:w w:val="80"/>
                <w:szCs w:val="21"/>
              </w:rPr>
              <w:t>TiO</w:t>
            </w:r>
            <w:r>
              <w:rPr>
                <w:w w:val="80"/>
                <w:szCs w:val="21"/>
                <w:vertAlign w:val="subscript"/>
              </w:rPr>
              <w:t>2</w:t>
            </w:r>
          </w:p>
        </w:tc>
        <w:tc>
          <w:tcPr>
            <w:tcW w:w="345" w:type="pct"/>
            <w:vAlign w:val="center"/>
          </w:tcPr>
          <w:p>
            <w:pPr>
              <w:jc w:val="center"/>
              <w:rPr>
                <w:w w:val="80"/>
                <w:szCs w:val="21"/>
              </w:rPr>
            </w:pPr>
            <w:r>
              <w:rPr>
                <w:w w:val="80"/>
                <w:szCs w:val="21"/>
              </w:rPr>
              <w:t>MnO</w:t>
            </w:r>
          </w:p>
        </w:tc>
        <w:tc>
          <w:tcPr>
            <w:tcW w:w="345" w:type="pct"/>
            <w:vAlign w:val="center"/>
          </w:tcPr>
          <w:p>
            <w:pPr>
              <w:jc w:val="center"/>
              <w:rPr>
                <w:w w:val="80"/>
                <w:szCs w:val="21"/>
              </w:rPr>
            </w:pPr>
            <w:r>
              <w:rPr>
                <w:w w:val="80"/>
                <w:szCs w:val="21"/>
              </w:rPr>
              <w:t>K</w:t>
            </w:r>
            <w:r>
              <w:rPr>
                <w:w w:val="80"/>
                <w:szCs w:val="21"/>
                <w:vertAlign w:val="subscript"/>
              </w:rPr>
              <w:t>2</w:t>
            </w:r>
            <w:r>
              <w:rPr>
                <w:w w:val="80"/>
                <w:szCs w:val="21"/>
              </w:rPr>
              <w:t>O</w:t>
            </w:r>
          </w:p>
        </w:tc>
        <w:tc>
          <w:tcPr>
            <w:tcW w:w="345" w:type="pct"/>
            <w:vAlign w:val="center"/>
          </w:tcPr>
          <w:p>
            <w:pPr>
              <w:jc w:val="center"/>
              <w:rPr>
                <w:w w:val="80"/>
                <w:szCs w:val="21"/>
              </w:rPr>
            </w:pPr>
            <w:r>
              <w:rPr>
                <w:w w:val="80"/>
                <w:szCs w:val="21"/>
              </w:rPr>
              <w:t>P</w:t>
            </w:r>
            <w:r>
              <w:rPr>
                <w:w w:val="80"/>
                <w:szCs w:val="21"/>
                <w:vertAlign w:val="subscript"/>
              </w:rPr>
              <w:t>2</w:t>
            </w:r>
            <w:r>
              <w:rPr>
                <w:w w:val="80"/>
                <w:szCs w:val="21"/>
              </w:rPr>
              <w:t>O</w:t>
            </w:r>
            <w:r>
              <w:rPr>
                <w:w w:val="80"/>
                <w:szCs w:val="21"/>
                <w:vertAlign w:val="subscript"/>
              </w:rPr>
              <w:t>5</w:t>
            </w:r>
          </w:p>
        </w:tc>
        <w:tc>
          <w:tcPr>
            <w:tcW w:w="453" w:type="pct"/>
            <w:vAlign w:val="center"/>
          </w:tcPr>
          <w:p>
            <w:pPr>
              <w:jc w:val="center"/>
              <w:rPr>
                <w:w w:val="80"/>
                <w:szCs w:val="21"/>
              </w:rPr>
            </w:pPr>
            <w:r>
              <w:rPr>
                <w:w w:val="80"/>
                <w:szCs w:val="21"/>
              </w:rPr>
              <w:t>V</w:t>
            </w:r>
            <w:r>
              <w:rPr>
                <w:w w:val="80"/>
                <w:szCs w:val="21"/>
                <w:vertAlign w:val="subscript"/>
              </w:rPr>
              <w:t>2</w:t>
            </w:r>
            <w:r>
              <w:rPr>
                <w:w w:val="80"/>
                <w:szCs w:val="21"/>
              </w:rPr>
              <w:t>O</w:t>
            </w:r>
            <w:r>
              <w:rPr>
                <w:w w:val="80"/>
                <w:szCs w:val="21"/>
                <w:vertAlign w:val="subscript"/>
              </w:rPr>
              <w:t>5</w:t>
            </w:r>
          </w:p>
        </w:tc>
        <w:tc>
          <w:tcPr>
            <w:tcW w:w="345" w:type="pct"/>
            <w:vAlign w:val="center"/>
          </w:tcPr>
          <w:p>
            <w:pPr>
              <w:jc w:val="center"/>
              <w:rPr>
                <w:w w:val="80"/>
                <w:szCs w:val="21"/>
              </w:rPr>
            </w:pPr>
            <w:r>
              <w:rPr>
                <w:w w:val="8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pct"/>
            <w:vAlign w:val="center"/>
          </w:tcPr>
          <w:p>
            <w:pPr>
              <w:rPr>
                <w:w w:val="95"/>
                <w:szCs w:val="21"/>
              </w:rPr>
            </w:pPr>
            <w:r>
              <w:rPr>
                <w:w w:val="95"/>
                <w:szCs w:val="21"/>
              </w:rPr>
              <w:t>桃江岩体</w:t>
            </w:r>
          </w:p>
          <w:p>
            <w:pPr>
              <w:rPr>
                <w:w w:val="80"/>
                <w:szCs w:val="21"/>
              </w:rPr>
            </w:pPr>
            <w:r>
              <w:rPr>
                <w:w w:val="80"/>
                <w:szCs w:val="21"/>
              </w:rPr>
              <w:t>（γδ</w:t>
            </w:r>
            <w:r>
              <w:rPr>
                <w:w w:val="80"/>
                <w:szCs w:val="21"/>
                <w:vertAlign w:val="subscript"/>
              </w:rPr>
              <w:t>3</w:t>
            </w:r>
            <w:r>
              <w:rPr>
                <w:w w:val="80"/>
                <w:szCs w:val="21"/>
                <w:vertAlign w:val="superscript"/>
              </w:rPr>
              <w:t>3-2c</w:t>
            </w:r>
            <w:r>
              <w:rPr>
                <w:w w:val="80"/>
                <w:szCs w:val="21"/>
              </w:rPr>
              <w:t>）</w:t>
            </w:r>
          </w:p>
        </w:tc>
        <w:tc>
          <w:tcPr>
            <w:tcW w:w="464" w:type="pct"/>
            <w:vAlign w:val="center"/>
          </w:tcPr>
          <w:p>
            <w:pPr>
              <w:jc w:val="center"/>
              <w:rPr>
                <w:w w:val="80"/>
                <w:szCs w:val="21"/>
              </w:rPr>
            </w:pPr>
            <w:r>
              <w:rPr>
                <w:rFonts w:hint="eastAsia"/>
                <w:w w:val="80"/>
                <w:szCs w:val="21"/>
              </w:rPr>
              <w:t>******</w:t>
            </w:r>
          </w:p>
        </w:tc>
        <w:tc>
          <w:tcPr>
            <w:tcW w:w="344" w:type="pct"/>
            <w:vAlign w:val="center"/>
          </w:tcPr>
          <w:p>
            <w:pPr>
              <w:jc w:val="center"/>
              <w:rPr>
                <w:w w:val="80"/>
                <w:szCs w:val="21"/>
              </w:rPr>
            </w:pPr>
            <w:r>
              <w:rPr>
                <w:rFonts w:hint="eastAsia"/>
                <w:w w:val="80"/>
                <w:szCs w:val="21"/>
              </w:rPr>
              <w:t>****</w:t>
            </w:r>
          </w:p>
        </w:tc>
        <w:tc>
          <w:tcPr>
            <w:tcW w:w="344" w:type="pct"/>
            <w:vAlign w:val="center"/>
          </w:tcPr>
          <w:p>
            <w:pPr>
              <w:jc w:val="center"/>
              <w:rPr>
                <w:spacing w:val="-20"/>
                <w:w w:val="80"/>
                <w:szCs w:val="21"/>
              </w:rPr>
            </w:pPr>
            <w:r>
              <w:rPr>
                <w:rFonts w:hint="eastAsia"/>
                <w:spacing w:val="-20"/>
                <w:w w:val="80"/>
                <w:szCs w:val="21"/>
              </w:rPr>
              <w:t>******</w:t>
            </w:r>
          </w:p>
        </w:tc>
        <w:tc>
          <w:tcPr>
            <w:tcW w:w="344" w:type="pct"/>
            <w:vAlign w:val="center"/>
          </w:tcPr>
          <w:p>
            <w:pPr>
              <w:jc w:val="center"/>
              <w:rPr>
                <w:spacing w:val="-20"/>
                <w:w w:val="80"/>
                <w:szCs w:val="21"/>
              </w:rPr>
            </w:pPr>
            <w:r>
              <w:rPr>
                <w:rFonts w:hint="eastAsia"/>
                <w:spacing w:val="-20"/>
                <w:w w:val="80"/>
                <w:szCs w:val="21"/>
              </w:rPr>
              <w:t>*****</w:t>
            </w:r>
          </w:p>
        </w:tc>
        <w:tc>
          <w:tcPr>
            <w:tcW w:w="344" w:type="pct"/>
            <w:vAlign w:val="center"/>
          </w:tcPr>
          <w:p>
            <w:pPr>
              <w:jc w:val="center"/>
              <w:rPr>
                <w:spacing w:val="-22"/>
                <w:w w:val="80"/>
                <w:szCs w:val="21"/>
              </w:rPr>
            </w:pPr>
            <w:r>
              <w:rPr>
                <w:rFonts w:hint="eastAsia"/>
                <w:spacing w:val="-22"/>
                <w:w w:val="80"/>
                <w:szCs w:val="21"/>
              </w:rPr>
              <w:t>*****</w:t>
            </w:r>
          </w:p>
        </w:tc>
        <w:tc>
          <w:tcPr>
            <w:tcW w:w="344" w:type="pct"/>
            <w:vAlign w:val="center"/>
          </w:tcPr>
          <w:p>
            <w:pPr>
              <w:jc w:val="center"/>
              <w:rPr>
                <w:w w:val="80"/>
                <w:szCs w:val="21"/>
              </w:rPr>
            </w:pPr>
            <w:r>
              <w:rPr>
                <w:rFonts w:hint="eastAsia"/>
                <w:w w:val="80"/>
                <w:szCs w:val="21"/>
              </w:rPr>
              <w:t>****</w:t>
            </w:r>
          </w:p>
        </w:tc>
        <w:tc>
          <w:tcPr>
            <w:tcW w:w="344" w:type="pct"/>
            <w:vAlign w:val="center"/>
          </w:tcPr>
          <w:p>
            <w:pPr>
              <w:jc w:val="center"/>
              <w:rPr>
                <w:spacing w:val="-20"/>
                <w:w w:val="80"/>
                <w:szCs w:val="21"/>
              </w:rPr>
            </w:pPr>
            <w:r>
              <w:rPr>
                <w:rFonts w:hint="eastAsia"/>
                <w:spacing w:val="-20"/>
                <w:w w:val="80"/>
                <w:szCs w:val="21"/>
              </w:rPr>
              <w:t>***</w:t>
            </w:r>
          </w:p>
        </w:tc>
        <w:tc>
          <w:tcPr>
            <w:tcW w:w="345" w:type="pct"/>
            <w:vAlign w:val="center"/>
          </w:tcPr>
          <w:p>
            <w:pPr>
              <w:jc w:val="center"/>
              <w:rPr>
                <w:spacing w:val="-20"/>
                <w:w w:val="80"/>
                <w:szCs w:val="21"/>
              </w:rPr>
            </w:pPr>
            <w:r>
              <w:rPr>
                <w:rFonts w:hint="eastAsia"/>
                <w:spacing w:val="-20"/>
                <w:w w:val="80"/>
                <w:szCs w:val="21"/>
              </w:rPr>
              <w:t>*****</w:t>
            </w:r>
          </w:p>
        </w:tc>
        <w:tc>
          <w:tcPr>
            <w:tcW w:w="345" w:type="pct"/>
            <w:vAlign w:val="center"/>
          </w:tcPr>
          <w:p>
            <w:pPr>
              <w:jc w:val="center"/>
              <w:rPr>
                <w:spacing w:val="-20"/>
                <w:w w:val="80"/>
                <w:szCs w:val="21"/>
              </w:rPr>
            </w:pPr>
            <w:r>
              <w:rPr>
                <w:rFonts w:hint="eastAsia"/>
                <w:spacing w:val="-20"/>
                <w:w w:val="80"/>
                <w:szCs w:val="21"/>
              </w:rPr>
              <w:t>****</w:t>
            </w:r>
          </w:p>
        </w:tc>
        <w:tc>
          <w:tcPr>
            <w:tcW w:w="345" w:type="pct"/>
            <w:vAlign w:val="center"/>
          </w:tcPr>
          <w:p>
            <w:pPr>
              <w:jc w:val="center"/>
              <w:rPr>
                <w:w w:val="80"/>
                <w:szCs w:val="21"/>
              </w:rPr>
            </w:pPr>
            <w:r>
              <w:rPr>
                <w:rFonts w:hint="eastAsia"/>
                <w:w w:val="80"/>
                <w:szCs w:val="21"/>
              </w:rPr>
              <w:t>****</w:t>
            </w:r>
          </w:p>
        </w:tc>
        <w:tc>
          <w:tcPr>
            <w:tcW w:w="453" w:type="pct"/>
            <w:vAlign w:val="center"/>
          </w:tcPr>
          <w:p>
            <w:pPr>
              <w:jc w:val="center"/>
              <w:rPr>
                <w:w w:val="80"/>
                <w:szCs w:val="21"/>
              </w:rPr>
            </w:pPr>
            <w:r>
              <w:rPr>
                <w:rFonts w:hint="eastAsia"/>
                <w:w w:val="80"/>
                <w:szCs w:val="21"/>
              </w:rPr>
              <w:t>*****</w:t>
            </w:r>
          </w:p>
        </w:tc>
        <w:tc>
          <w:tcPr>
            <w:tcW w:w="345" w:type="pct"/>
            <w:vAlign w:val="center"/>
          </w:tcPr>
          <w:p>
            <w:pPr>
              <w:jc w:val="center"/>
              <w:rPr>
                <w:szCs w:val="21"/>
              </w:rPr>
            </w:pPr>
          </w:p>
        </w:tc>
      </w:tr>
    </w:tbl>
    <w:p>
      <w:pPr>
        <w:spacing w:line="360" w:lineRule="auto"/>
        <w:ind w:firstLine="480" w:firstLineChars="200"/>
        <w:rPr>
          <w:sz w:val="24"/>
        </w:rPr>
      </w:pPr>
      <w:r>
        <w:rPr>
          <w:sz w:val="24"/>
        </w:rPr>
        <w:t>（2）矿石物质组成</w:t>
      </w:r>
    </w:p>
    <w:p>
      <w:pPr>
        <w:spacing w:line="360" w:lineRule="auto"/>
        <w:ind w:firstLine="480" w:firstLineChars="200"/>
        <w:rPr>
          <w:sz w:val="24"/>
        </w:rPr>
      </w:pPr>
      <w:r>
        <w:rPr>
          <w:sz w:val="24"/>
        </w:rPr>
        <w:t>根据《核实报告》，矿石的碱集料反应指标和放射性指标均合格</w:t>
      </w:r>
      <w:r>
        <w:rPr>
          <w:rFonts w:hint="eastAsia"/>
          <w:sz w:val="24"/>
        </w:rPr>
        <w:t>（表1-4）</w:t>
      </w:r>
      <w:r>
        <w:rPr>
          <w:sz w:val="24"/>
        </w:rPr>
        <w:t>。</w:t>
      </w:r>
    </w:p>
    <w:p>
      <w:pPr>
        <w:jc w:val="center"/>
      </w:pPr>
      <w:r>
        <w:rPr>
          <w:sz w:val="22"/>
          <w:szCs w:val="22"/>
        </w:rPr>
        <w:tab/>
      </w:r>
    </w:p>
    <w:p>
      <w:pPr>
        <w:tabs>
          <w:tab w:val="left" w:pos="1687"/>
          <w:tab w:val="center" w:pos="4513"/>
        </w:tabs>
        <w:jc w:val="center"/>
        <w:rPr>
          <w:sz w:val="22"/>
          <w:szCs w:val="22"/>
        </w:rPr>
      </w:pPr>
    </w:p>
    <w:p>
      <w:pPr>
        <w:tabs>
          <w:tab w:val="left" w:pos="1687"/>
          <w:tab w:val="center" w:pos="4513"/>
        </w:tabs>
        <w:jc w:val="center"/>
        <w:rPr>
          <w:sz w:val="22"/>
          <w:szCs w:val="22"/>
        </w:rPr>
      </w:pPr>
      <w:r>
        <w:rPr>
          <w:sz w:val="22"/>
          <w:szCs w:val="22"/>
        </w:rPr>
        <w:t>表1-4   沙田湾建筑用花岗岩矿碱活性样测试结果表</w:t>
      </w:r>
    </w:p>
    <w:tbl>
      <w:tblPr>
        <w:tblStyle w:val="34"/>
        <w:tblW w:w="8678" w:type="dxa"/>
        <w:jc w:val="center"/>
        <w:tblLayout w:type="fixed"/>
        <w:tblCellMar>
          <w:top w:w="0" w:type="dxa"/>
          <w:left w:w="0" w:type="dxa"/>
          <w:bottom w:w="0" w:type="dxa"/>
          <w:right w:w="0" w:type="dxa"/>
        </w:tblCellMar>
      </w:tblPr>
      <w:tblGrid>
        <w:gridCol w:w="637"/>
        <w:gridCol w:w="1676"/>
        <w:gridCol w:w="1129"/>
        <w:gridCol w:w="997"/>
        <w:gridCol w:w="850"/>
        <w:gridCol w:w="1078"/>
        <w:gridCol w:w="1053"/>
        <w:gridCol w:w="1258"/>
      </w:tblGrid>
      <w:tr>
        <w:tblPrEx>
          <w:tblCellMar>
            <w:top w:w="0" w:type="dxa"/>
            <w:left w:w="0" w:type="dxa"/>
            <w:bottom w:w="0" w:type="dxa"/>
            <w:right w:w="0" w:type="dxa"/>
          </w:tblCellMar>
        </w:tblPrEx>
        <w:trPr>
          <w:trHeight w:val="456" w:hRule="atLeast"/>
          <w:jc w:val="center"/>
        </w:trPr>
        <w:tc>
          <w:tcPr>
            <w:tcW w:w="6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序号</w:t>
            </w:r>
          </w:p>
        </w:tc>
        <w:tc>
          <w:tcPr>
            <w:tcW w:w="167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统一编号</w:t>
            </w:r>
          </w:p>
        </w:tc>
        <w:tc>
          <w:tcPr>
            <w:tcW w:w="11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样品类别</w:t>
            </w:r>
          </w:p>
        </w:tc>
        <w:tc>
          <w:tcPr>
            <w:tcW w:w="5236"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检测结果</w:t>
            </w:r>
          </w:p>
        </w:tc>
      </w:tr>
      <w:tr>
        <w:tblPrEx>
          <w:tblCellMar>
            <w:top w:w="0" w:type="dxa"/>
            <w:left w:w="0" w:type="dxa"/>
            <w:bottom w:w="0" w:type="dxa"/>
            <w:right w:w="0" w:type="dxa"/>
          </w:tblCellMar>
        </w:tblPrEx>
        <w:trPr>
          <w:trHeight w:val="456" w:hRule="atLeast"/>
          <w:jc w:val="center"/>
        </w:trPr>
        <w:tc>
          <w:tcPr>
            <w:tcW w:w="6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1676" w:type="dxa"/>
            <w:vMerge w:val="continue"/>
            <w:tcBorders>
              <w:left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11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Ra</w:t>
            </w:r>
            <w:r>
              <w:rPr>
                <w:szCs w:val="21"/>
                <w:vertAlign w:val="superscript"/>
              </w:rPr>
              <w:t>226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76" w:lineRule="auto"/>
              <w:jc w:val="center"/>
              <w:textAlignment w:val="center"/>
              <w:rPr>
                <w:szCs w:val="21"/>
              </w:rPr>
            </w:pPr>
            <w:r>
              <w:rPr>
                <w:szCs w:val="21"/>
              </w:rPr>
              <w:t>Th</w:t>
            </w:r>
            <w:r>
              <w:rPr>
                <w:szCs w:val="21"/>
                <w:vertAlign w:val="superscript"/>
              </w:rPr>
              <w:t>232</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76" w:lineRule="auto"/>
              <w:jc w:val="center"/>
              <w:textAlignment w:val="center"/>
              <w:rPr>
                <w:szCs w:val="21"/>
              </w:rPr>
            </w:pPr>
            <w:r>
              <w:rPr>
                <w:szCs w:val="21"/>
              </w:rPr>
              <w:t>K</w:t>
            </w:r>
            <w:r>
              <w:rPr>
                <w:szCs w:val="21"/>
                <w:vertAlign w:val="superscript"/>
              </w:rPr>
              <w:t>40</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IRa</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Ir</w:t>
            </w:r>
          </w:p>
        </w:tc>
      </w:tr>
      <w:tr>
        <w:tblPrEx>
          <w:tblCellMar>
            <w:top w:w="0" w:type="dxa"/>
            <w:left w:w="0" w:type="dxa"/>
            <w:bottom w:w="0" w:type="dxa"/>
            <w:right w:w="0" w:type="dxa"/>
          </w:tblCellMar>
        </w:tblPrEx>
        <w:trPr>
          <w:trHeight w:val="456" w:hRule="atLeast"/>
          <w:jc w:val="center"/>
        </w:trPr>
        <w:tc>
          <w:tcPr>
            <w:tcW w:w="6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167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11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76" w:lineRule="auto"/>
              <w:jc w:val="center"/>
              <w:rPr>
                <w:szCs w:val="21"/>
              </w:rPr>
            </w:pPr>
          </w:p>
        </w:tc>
        <w:tc>
          <w:tcPr>
            <w:tcW w:w="29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Bq/Kg</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w:t>
            </w:r>
          </w:p>
        </w:tc>
      </w:tr>
      <w:tr>
        <w:tblPrEx>
          <w:tblCellMar>
            <w:top w:w="0" w:type="dxa"/>
            <w:left w:w="0" w:type="dxa"/>
            <w:bottom w:w="0" w:type="dxa"/>
            <w:right w:w="0" w:type="dxa"/>
          </w:tblCellMar>
        </w:tblPrEx>
        <w:trPr>
          <w:trHeight w:val="456" w:hRule="atLeast"/>
          <w:jc w:val="center"/>
        </w:trPr>
        <w:tc>
          <w:tcPr>
            <w:tcW w:w="6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w:t>
            </w:r>
          </w:p>
        </w:tc>
        <w:tc>
          <w:tcPr>
            <w:tcW w:w="16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rFonts w:hint="eastAsia"/>
                <w:szCs w:val="21"/>
              </w:rPr>
              <w:t>************</w:t>
            </w:r>
          </w:p>
        </w:tc>
        <w:tc>
          <w:tcPr>
            <w:tcW w:w="11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岩石</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rFonts w:hint="eastAsia"/>
                <w:szCs w:val="21"/>
              </w:rPr>
              <w:t>****</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rFonts w:hint="eastAsia"/>
                <w:szCs w:val="21"/>
              </w:rPr>
              <w:t>****</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rFonts w:hint="eastAsia"/>
                <w:szCs w:val="21"/>
              </w:rPr>
              <w:t>***</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0.2</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0.5</w:t>
            </w:r>
          </w:p>
        </w:tc>
      </w:tr>
      <w:tr>
        <w:tblPrEx>
          <w:tblCellMar>
            <w:top w:w="0" w:type="dxa"/>
            <w:left w:w="0" w:type="dxa"/>
            <w:bottom w:w="0" w:type="dxa"/>
            <w:right w:w="0" w:type="dxa"/>
          </w:tblCellMar>
        </w:tblPrEx>
        <w:trPr>
          <w:trHeight w:val="456" w:hRule="atLeast"/>
          <w:jc w:val="center"/>
        </w:trPr>
        <w:tc>
          <w:tcPr>
            <w:tcW w:w="6367"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建筑主体材料应同时满足</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≤1.0</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≤1.0</w:t>
            </w:r>
          </w:p>
        </w:tc>
      </w:tr>
      <w:tr>
        <w:tblPrEx>
          <w:tblCellMar>
            <w:top w:w="0" w:type="dxa"/>
            <w:left w:w="0" w:type="dxa"/>
            <w:bottom w:w="0" w:type="dxa"/>
            <w:right w:w="0" w:type="dxa"/>
          </w:tblCellMar>
        </w:tblPrEx>
        <w:trPr>
          <w:trHeight w:val="456" w:hRule="atLeast"/>
          <w:jc w:val="center"/>
        </w:trPr>
        <w:tc>
          <w:tcPr>
            <w:tcW w:w="6367"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A类装饰装修材料应同时满足（A类装饰装修材料产销与使用范围不受限制）</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≤1.0</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≤1.3</w:t>
            </w:r>
          </w:p>
        </w:tc>
      </w:tr>
      <w:tr>
        <w:tblPrEx>
          <w:tblCellMar>
            <w:top w:w="0" w:type="dxa"/>
            <w:left w:w="0" w:type="dxa"/>
            <w:bottom w:w="0" w:type="dxa"/>
            <w:right w:w="0" w:type="dxa"/>
          </w:tblCellMar>
        </w:tblPrEx>
        <w:trPr>
          <w:trHeight w:val="456" w:hRule="atLeast"/>
          <w:jc w:val="center"/>
        </w:trPr>
        <w:tc>
          <w:tcPr>
            <w:tcW w:w="6367"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76" w:lineRule="auto"/>
              <w:jc w:val="center"/>
              <w:textAlignment w:val="center"/>
              <w:rPr>
                <w:szCs w:val="21"/>
              </w:rPr>
            </w:pPr>
            <w:r>
              <w:rPr>
                <w:szCs w:val="21"/>
              </w:rPr>
              <w:t>B类装饰装修材料应同时满足（B类装饰装修材料不可用于Ⅰ类民用建筑的内饰面，</w:t>
            </w:r>
          </w:p>
          <w:p>
            <w:pPr>
              <w:widowControl/>
              <w:spacing w:line="276" w:lineRule="auto"/>
              <w:jc w:val="center"/>
              <w:textAlignment w:val="center"/>
              <w:rPr>
                <w:szCs w:val="21"/>
              </w:rPr>
            </w:pPr>
            <w:r>
              <w:rPr>
                <w:szCs w:val="21"/>
              </w:rPr>
              <w:t>可用于Ⅱ类民用建筑物、工业建筑内饰面及其他一切建筑的外饰面）</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≤1.3</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≤1.9</w:t>
            </w:r>
          </w:p>
        </w:tc>
      </w:tr>
      <w:tr>
        <w:tblPrEx>
          <w:tblCellMar>
            <w:top w:w="0" w:type="dxa"/>
            <w:left w:w="0" w:type="dxa"/>
            <w:bottom w:w="0" w:type="dxa"/>
            <w:right w:w="0" w:type="dxa"/>
          </w:tblCellMar>
        </w:tblPrEx>
        <w:trPr>
          <w:trHeight w:val="463" w:hRule="atLeast"/>
          <w:jc w:val="center"/>
        </w:trPr>
        <w:tc>
          <w:tcPr>
            <w:tcW w:w="6367"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C类装饰装修材料应满足（C类装饰装修材料只可用于建筑物的外饰面及室外其他用途）</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w:t>
            </w:r>
          </w:p>
        </w:tc>
        <w:tc>
          <w:tcPr>
            <w:tcW w:w="12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76" w:lineRule="auto"/>
              <w:jc w:val="center"/>
              <w:textAlignment w:val="center"/>
              <w:rPr>
                <w:szCs w:val="21"/>
              </w:rPr>
            </w:pPr>
            <w:r>
              <w:rPr>
                <w:szCs w:val="21"/>
              </w:rPr>
              <w:t>≤2.8</w:t>
            </w:r>
          </w:p>
        </w:tc>
      </w:tr>
      <w:bookmarkEnd w:id="18"/>
    </w:tbl>
    <w:p>
      <w:pPr>
        <w:pStyle w:val="4"/>
        <w:spacing w:beforeLines="50" w:afterLines="50" w:line="460" w:lineRule="exact"/>
        <w:jc w:val="left"/>
        <w:rPr>
          <w:rFonts w:ascii="Times New Roman" w:hAnsi="Times New Roman" w:eastAsia="宋体"/>
          <w:b w:val="0"/>
          <w:bCs w:val="0"/>
          <w:sz w:val="28"/>
        </w:rPr>
      </w:pPr>
      <w:bookmarkStart w:id="19" w:name="_Toc383852436"/>
      <w:bookmarkStart w:id="20" w:name="_Toc436833708"/>
      <w:bookmarkStart w:id="21" w:name="_Toc130937624"/>
      <w:bookmarkStart w:id="22" w:name="_Toc383852434"/>
      <w:r>
        <w:rPr>
          <w:rFonts w:ascii="Times New Roman" w:hAnsi="Times New Roman" w:eastAsia="宋体"/>
          <w:b w:val="0"/>
          <w:bCs w:val="0"/>
          <w:sz w:val="28"/>
        </w:rPr>
        <w:t>三、</w:t>
      </w:r>
      <w:bookmarkEnd w:id="19"/>
      <w:bookmarkEnd w:id="20"/>
      <w:r>
        <w:rPr>
          <w:rFonts w:ascii="Times New Roman" w:hAnsi="Times New Roman" w:eastAsia="宋体"/>
          <w:b w:val="0"/>
          <w:bCs w:val="0"/>
          <w:sz w:val="28"/>
        </w:rPr>
        <w:t>矿山开采与生态保护修复现状</w:t>
      </w:r>
      <w:bookmarkEnd w:id="21"/>
    </w:p>
    <w:p>
      <w:pPr>
        <w:pStyle w:val="5"/>
        <w:spacing w:beforeLines="50" w:after="0" w:line="440" w:lineRule="exact"/>
        <w:jc w:val="left"/>
        <w:rPr>
          <w:b w:val="0"/>
          <w:bCs w:val="0"/>
          <w:sz w:val="24"/>
        </w:rPr>
      </w:pPr>
      <w:r>
        <w:rPr>
          <w:b w:val="0"/>
          <w:bCs w:val="0"/>
          <w:sz w:val="24"/>
        </w:rPr>
        <w:t>（一）矿山开采历史与现状</w:t>
      </w:r>
    </w:p>
    <w:p>
      <w:pPr>
        <w:spacing w:line="360" w:lineRule="auto"/>
        <w:ind w:firstLine="480" w:firstLineChars="200"/>
        <w:rPr>
          <w:sz w:val="24"/>
        </w:rPr>
      </w:pPr>
      <w:bookmarkStart w:id="23" w:name="_Toc2985"/>
      <w:bookmarkStart w:id="24" w:name="_Toc51918557"/>
      <w:bookmarkStart w:id="25" w:name="_Toc23534"/>
      <w:bookmarkStart w:id="26" w:name="_Toc17937"/>
      <w:r>
        <w:rPr>
          <w:sz w:val="24"/>
        </w:rPr>
        <w:t>1、矿山开采历史</w:t>
      </w:r>
    </w:p>
    <w:p>
      <w:pPr>
        <w:spacing w:line="360" w:lineRule="auto"/>
        <w:ind w:firstLine="480" w:firstLineChars="200"/>
        <w:rPr>
          <w:sz w:val="24"/>
        </w:rPr>
      </w:pPr>
      <w:r>
        <w:rPr>
          <w:sz w:val="24"/>
        </w:rPr>
        <w:t>2002年，成立金桥石厂，原桃江县国土资源局首次颁发采矿许可证，生产规模</w:t>
      </w:r>
      <w:r>
        <w:rPr>
          <w:rFonts w:hint="eastAsia"/>
          <w:sz w:val="24"/>
        </w:rPr>
        <w:t>*</w:t>
      </w:r>
      <w:r>
        <w:rPr>
          <w:sz w:val="24"/>
        </w:rPr>
        <w:t>万m</w:t>
      </w:r>
      <w:r>
        <w:rPr>
          <w:sz w:val="24"/>
          <w:vertAlign w:val="superscript"/>
        </w:rPr>
        <w:t>3</w:t>
      </w:r>
      <w:r>
        <w:rPr>
          <w:sz w:val="24"/>
        </w:rPr>
        <w:t>/年，矿山开采的花岗岩块石用于当地道路护坡或运往益阳、沅江等地用于堤防护坡。2003年成立桃江县金桥石业有限公司，仍开采块石直接销售。2009年，矿山建设破碎生产线，生产碎石用作铁路道渣，副产品销往当地用于搅拌混凝土。矿山2015年12月至2018年11月，因未能协调好周边矿群关系，一直处于停产状态，仅办理了采矿许可证延续与变更登记手续，未有采出矿石。矿山自2018年12月开始基建，2020年11月开始试生产，2021年5月达产生产至今。至2022年10月止，开采花岗岩矿约</w:t>
      </w:r>
      <w:r>
        <w:rPr>
          <w:rFonts w:hint="eastAsia"/>
          <w:sz w:val="24"/>
        </w:rPr>
        <w:t>***</w:t>
      </w:r>
      <w:r>
        <w:rPr>
          <w:sz w:val="24"/>
        </w:rPr>
        <w:t>万吨。</w:t>
      </w:r>
    </w:p>
    <w:p>
      <w:pPr>
        <w:spacing w:line="360" w:lineRule="auto"/>
        <w:ind w:firstLine="480" w:firstLineChars="200"/>
        <w:rPr>
          <w:sz w:val="24"/>
        </w:rPr>
      </w:pPr>
      <w:r>
        <w:rPr>
          <w:sz w:val="24"/>
        </w:rPr>
        <w:t>2、矿山开采现状</w:t>
      </w:r>
    </w:p>
    <w:p>
      <w:pPr>
        <w:spacing w:line="360" w:lineRule="auto"/>
        <w:ind w:firstLine="480" w:firstLineChars="200"/>
        <w:rPr>
          <w:sz w:val="24"/>
        </w:rPr>
      </w:pPr>
      <w:r>
        <w:rPr>
          <w:sz w:val="24"/>
        </w:rPr>
        <w:t>（1）开采方式与开拓现状</w:t>
      </w:r>
    </w:p>
    <w:p>
      <w:pPr>
        <w:spacing w:line="360" w:lineRule="auto"/>
        <w:ind w:firstLine="480" w:firstLineChars="200"/>
        <w:rPr>
          <w:sz w:val="24"/>
        </w:rPr>
      </w:pPr>
      <w:r>
        <w:rPr>
          <w:sz w:val="24"/>
        </w:rPr>
        <w:t>矿山采用露天开采方式，公路运输开拓。目前，矿山目前已形成+100m、+90m、+80m、+70m四级台阶。</w:t>
      </w:r>
    </w:p>
    <w:p>
      <w:pPr>
        <w:spacing w:line="360" w:lineRule="auto"/>
        <w:ind w:firstLine="480" w:firstLineChars="200"/>
        <w:rPr>
          <w:sz w:val="24"/>
        </w:rPr>
      </w:pPr>
      <w:r>
        <w:rPr>
          <w:sz w:val="24"/>
        </w:rPr>
        <w:t>（2）现有中段及采矿方法</w:t>
      </w:r>
    </w:p>
    <w:p>
      <w:pPr>
        <w:spacing w:line="360" w:lineRule="auto"/>
        <w:ind w:firstLine="480" w:firstLineChars="200"/>
        <w:rPr>
          <w:sz w:val="24"/>
        </w:rPr>
      </w:pPr>
      <w:r>
        <w:rPr>
          <w:sz w:val="24"/>
        </w:rPr>
        <w:t>矿山已形成+100m、+90m、+80m、+70m四级台阶，开采顺序为分台阶自上而下逐层开采。矿山原设计采矿方法为爆破开采，因距周边民房达不到爆破开采的300m最小安全距离要求，因此矿山改用机械爆破开采，后因花岗岩硬度较大，该采矿方法生产效率较低，到2020年5月，矿山将采矿方法改为：垂直切割～水平凿眼～楔钉锤击分离～装载机装载。据本所2022年10月提交的《湖南省桃江县浮邱山矿区沙田湾建筑用花岗岩矿资源储量核实报告》，因矿区节理裂隙较为发育，矿山理论荒料率为</w:t>
      </w:r>
      <w:r>
        <w:rPr>
          <w:rFonts w:hint="eastAsia"/>
          <w:sz w:val="24"/>
        </w:rPr>
        <w:t>**</w:t>
      </w:r>
      <w:r>
        <w:rPr>
          <w:sz w:val="24"/>
        </w:rPr>
        <w:t>%，据矿山提供数据，开采荒料率约为</w:t>
      </w:r>
      <w:r>
        <w:rPr>
          <w:rFonts w:hint="eastAsia"/>
          <w:sz w:val="24"/>
        </w:rPr>
        <w:t>**</w:t>
      </w:r>
      <w:r>
        <w:rPr>
          <w:sz w:val="24"/>
        </w:rPr>
        <w:t>%。为提高矿石的利用价值，矿山开采的花岗岩矿石，部分可综合利用作为荒料销售，其它矿石经破碎用作建筑石料销售，花岗岩的风化层经水洗分选后可作建筑用砂销售。</w:t>
      </w:r>
    </w:p>
    <w:bookmarkEnd w:id="23"/>
    <w:bookmarkEnd w:id="24"/>
    <w:bookmarkEnd w:id="25"/>
    <w:bookmarkEnd w:id="26"/>
    <w:p>
      <w:pPr>
        <w:pStyle w:val="5"/>
        <w:spacing w:before="0" w:after="0" w:line="440" w:lineRule="exact"/>
        <w:jc w:val="left"/>
        <w:rPr>
          <w:b w:val="0"/>
          <w:bCs w:val="0"/>
          <w:sz w:val="24"/>
        </w:rPr>
      </w:pPr>
      <w:r>
        <w:rPr>
          <w:b w:val="0"/>
          <w:bCs w:val="0"/>
          <w:sz w:val="24"/>
        </w:rPr>
        <w:t>（二）矿产资源开发利用方案</w:t>
      </w:r>
    </w:p>
    <w:p>
      <w:pPr>
        <w:spacing w:line="360" w:lineRule="auto"/>
        <w:ind w:firstLine="480" w:firstLineChars="200"/>
        <w:rPr>
          <w:sz w:val="24"/>
        </w:rPr>
      </w:pPr>
      <w:r>
        <w:rPr>
          <w:sz w:val="24"/>
        </w:rPr>
        <w:t>根据2022年12月，湖南省城市地质调查监测所编制的《湖南省湖南省桃江县浮邱山矿区沙田湾花岗岩矿资源开发利用方案》，现简介如下：</w:t>
      </w:r>
    </w:p>
    <w:p>
      <w:pPr>
        <w:spacing w:line="360" w:lineRule="auto"/>
        <w:ind w:firstLine="480" w:firstLineChars="200"/>
        <w:rPr>
          <w:sz w:val="24"/>
        </w:rPr>
      </w:pPr>
      <w:r>
        <w:rPr>
          <w:sz w:val="24"/>
        </w:rPr>
        <w:t>1、矿山可采储量保有资源量、生产能力及服务年限</w:t>
      </w:r>
    </w:p>
    <w:p>
      <w:pPr>
        <w:spacing w:line="360" w:lineRule="auto"/>
        <w:ind w:firstLine="480" w:firstLineChars="200"/>
        <w:rPr>
          <w:sz w:val="24"/>
        </w:rPr>
      </w:pPr>
      <w:r>
        <w:rPr>
          <w:sz w:val="24"/>
        </w:rPr>
        <w:t>根据《核实报告》，截止2022年10月底，矿区范围内保有控制资源量</w:t>
      </w:r>
      <w:r>
        <w:rPr>
          <w:rFonts w:hint="eastAsia"/>
          <w:sz w:val="24"/>
        </w:rPr>
        <w:t>****</w:t>
      </w:r>
      <w:r>
        <w:rPr>
          <w:sz w:val="24"/>
        </w:rPr>
        <w:t>万吨，其中荒料</w:t>
      </w:r>
      <w:r>
        <w:rPr>
          <w:rFonts w:hint="eastAsia"/>
          <w:sz w:val="24"/>
        </w:rPr>
        <w:t>***</w:t>
      </w:r>
      <w:r>
        <w:rPr>
          <w:sz w:val="24"/>
        </w:rPr>
        <w:t>万吨，建筑碎石</w:t>
      </w:r>
      <w:r>
        <w:rPr>
          <w:rFonts w:hint="eastAsia"/>
          <w:sz w:val="24"/>
        </w:rPr>
        <w:t>****</w:t>
      </w:r>
      <w:r>
        <w:rPr>
          <w:sz w:val="24"/>
        </w:rPr>
        <w:t>万吨，建筑用砂</w:t>
      </w:r>
      <w:r>
        <w:rPr>
          <w:rFonts w:hint="eastAsia"/>
          <w:sz w:val="24"/>
        </w:rPr>
        <w:t>***</w:t>
      </w:r>
      <w:r>
        <w:rPr>
          <w:sz w:val="24"/>
        </w:rPr>
        <w:t>万吨。</w:t>
      </w:r>
    </w:p>
    <w:p>
      <w:pPr>
        <w:spacing w:line="360" w:lineRule="auto"/>
        <w:ind w:firstLine="480" w:firstLineChars="200"/>
        <w:rPr>
          <w:sz w:val="24"/>
        </w:rPr>
      </w:pPr>
      <w:bookmarkStart w:id="27" w:name="_Toc233109384"/>
      <w:r>
        <w:rPr>
          <w:sz w:val="24"/>
        </w:rPr>
        <w:t>2、开采开拓方式及运输方案</w:t>
      </w:r>
      <w:bookmarkEnd w:id="27"/>
    </w:p>
    <w:p>
      <w:pPr>
        <w:spacing w:line="360" w:lineRule="auto"/>
        <w:ind w:firstLine="480" w:firstLineChars="200"/>
        <w:rPr>
          <w:sz w:val="24"/>
        </w:rPr>
      </w:pPr>
      <w:bookmarkStart w:id="28" w:name="_Toc233109385"/>
      <w:r>
        <w:rPr>
          <w:sz w:val="24"/>
        </w:rPr>
        <w:t>采用露天开采方式，公路运输开拓、汽车运输方案，根据矿山现有资源赋存状况，矿体赋存标高为+</w:t>
      </w:r>
      <w:r>
        <w:rPr>
          <w:rFonts w:hint="eastAsia"/>
          <w:sz w:val="24"/>
        </w:rPr>
        <w:t>***</w:t>
      </w:r>
      <w:r>
        <w:rPr>
          <w:sz w:val="24"/>
        </w:rPr>
        <w:t>m至+</w:t>
      </w:r>
      <w:r>
        <w:rPr>
          <w:rFonts w:hint="eastAsia"/>
          <w:sz w:val="24"/>
        </w:rPr>
        <w:t>**</w:t>
      </w:r>
      <w:r>
        <w:rPr>
          <w:sz w:val="24"/>
        </w:rPr>
        <w:t>m，据核实报告，矿区保有资源量资源控制级别为控制资源量，工程控制可靠度高，故按</w:t>
      </w:r>
      <w:r>
        <w:rPr>
          <w:rFonts w:hint="eastAsia"/>
          <w:sz w:val="24"/>
        </w:rPr>
        <w:t>***</w:t>
      </w:r>
      <w:r>
        <w:rPr>
          <w:sz w:val="24"/>
        </w:rPr>
        <w:t>%利用，矿山设计利用资源储量</w:t>
      </w:r>
      <w:r>
        <w:rPr>
          <w:rFonts w:hint="eastAsia"/>
          <w:sz w:val="24"/>
        </w:rPr>
        <w:t>***</w:t>
      </w:r>
      <w:r>
        <w:rPr>
          <w:sz w:val="24"/>
        </w:rPr>
        <w:t>万吨，另需扣除设计台阶边坡损失</w:t>
      </w:r>
      <w:r>
        <w:rPr>
          <w:rFonts w:hint="eastAsia"/>
          <w:sz w:val="24"/>
        </w:rPr>
        <w:t>***</w:t>
      </w:r>
      <w:r>
        <w:rPr>
          <w:sz w:val="24"/>
        </w:rPr>
        <w:t>万吨，实际本次设计利用资源储量</w:t>
      </w:r>
      <w:r>
        <w:rPr>
          <w:rFonts w:hint="eastAsia"/>
          <w:sz w:val="24"/>
        </w:rPr>
        <w:t>****</w:t>
      </w:r>
      <w:r>
        <w:rPr>
          <w:sz w:val="24"/>
        </w:rPr>
        <w:t>万吨。</w:t>
      </w:r>
    </w:p>
    <w:p>
      <w:pPr>
        <w:spacing w:line="360" w:lineRule="auto"/>
        <w:ind w:firstLine="480" w:firstLineChars="200"/>
        <w:rPr>
          <w:sz w:val="24"/>
          <w:szCs w:val="32"/>
        </w:rPr>
      </w:pPr>
      <w:r>
        <w:rPr>
          <w:sz w:val="24"/>
          <w:szCs w:val="32"/>
        </w:rPr>
        <w:t>3、矿山剩余服务年限</w:t>
      </w:r>
    </w:p>
    <w:p>
      <w:pPr>
        <w:spacing w:line="360" w:lineRule="auto"/>
        <w:ind w:firstLine="480" w:firstLineChars="200"/>
        <w:rPr>
          <w:sz w:val="24"/>
        </w:rPr>
      </w:pPr>
      <w:r>
        <w:rPr>
          <w:sz w:val="24"/>
        </w:rPr>
        <w:t>矿山核定的生产规模为</w:t>
      </w:r>
      <w:r>
        <w:rPr>
          <w:rFonts w:hint="eastAsia"/>
          <w:sz w:val="24"/>
        </w:rPr>
        <w:t>****</w:t>
      </w:r>
      <w:r>
        <w:rPr>
          <w:sz w:val="24"/>
        </w:rPr>
        <w:t>万m</w:t>
      </w:r>
      <w:r>
        <w:rPr>
          <w:sz w:val="24"/>
          <w:vertAlign w:val="superscript"/>
        </w:rPr>
        <w:t>3</w:t>
      </w:r>
      <w:r>
        <w:rPr>
          <w:sz w:val="24"/>
        </w:rPr>
        <w:t>/a（折合</w:t>
      </w:r>
      <w:r>
        <w:rPr>
          <w:rFonts w:hint="eastAsia"/>
          <w:sz w:val="24"/>
        </w:rPr>
        <w:t>**</w:t>
      </w:r>
      <w:r>
        <w:rPr>
          <w:sz w:val="24"/>
        </w:rPr>
        <w:t>万t/a）。矿山为多年生产的老矿山，本矿井主要系统设备设施均按</w:t>
      </w:r>
      <w:r>
        <w:rPr>
          <w:rFonts w:hint="eastAsia"/>
          <w:sz w:val="24"/>
        </w:rPr>
        <w:t>****</w:t>
      </w:r>
      <w:r>
        <w:rPr>
          <w:sz w:val="24"/>
        </w:rPr>
        <w:t>万m</w:t>
      </w:r>
      <w:r>
        <w:rPr>
          <w:sz w:val="24"/>
          <w:vertAlign w:val="superscript"/>
        </w:rPr>
        <w:t>3</w:t>
      </w:r>
      <w:r>
        <w:rPr>
          <w:sz w:val="24"/>
        </w:rPr>
        <w:t>/a配备，按</w:t>
      </w:r>
      <w:r>
        <w:rPr>
          <w:rFonts w:hint="eastAsia"/>
          <w:sz w:val="24"/>
        </w:rPr>
        <w:t>****</w:t>
      </w:r>
      <w:r>
        <w:rPr>
          <w:sz w:val="24"/>
        </w:rPr>
        <w:t>万m</w:t>
      </w:r>
      <w:r>
        <w:rPr>
          <w:sz w:val="24"/>
          <w:vertAlign w:val="superscript"/>
        </w:rPr>
        <w:t>3</w:t>
      </w:r>
      <w:r>
        <w:rPr>
          <w:sz w:val="24"/>
        </w:rPr>
        <w:t>/a规模建设，可利用已有设备设施，有利于优化投资。矿山剩余服务年限为</w:t>
      </w:r>
      <w:r>
        <w:rPr>
          <w:rFonts w:hint="eastAsia"/>
          <w:sz w:val="24"/>
        </w:rPr>
        <w:t>***</w:t>
      </w:r>
      <w:r>
        <w:rPr>
          <w:sz w:val="24"/>
        </w:rPr>
        <w:t>年。</w:t>
      </w:r>
    </w:p>
    <w:p>
      <w:pPr>
        <w:spacing w:line="360" w:lineRule="auto"/>
        <w:ind w:firstLine="480" w:firstLineChars="200"/>
        <w:rPr>
          <w:sz w:val="24"/>
        </w:rPr>
      </w:pPr>
      <w:r>
        <w:rPr>
          <w:sz w:val="24"/>
        </w:rPr>
        <w:t>4、开采开拓及运输方式</w:t>
      </w:r>
    </w:p>
    <w:p>
      <w:pPr>
        <w:spacing w:line="360" w:lineRule="auto"/>
        <w:ind w:firstLine="480" w:firstLineChars="200"/>
        <w:rPr>
          <w:sz w:val="24"/>
        </w:rPr>
      </w:pPr>
      <w:r>
        <w:rPr>
          <w:sz w:val="24"/>
        </w:rPr>
        <w:t>矿山为露天开采，开采方法为分台阶自上而下逐层开采，采矿方法为：垂直切割～水平凿眼～楔钉锤击分离～装载机装载。采用台阶式顺层开拓，各台阶通过简易矿山公路与矿区外部公路相接。</w:t>
      </w:r>
    </w:p>
    <w:p>
      <w:pPr>
        <w:spacing w:line="360" w:lineRule="auto"/>
        <w:ind w:firstLine="480" w:firstLineChars="200"/>
        <w:rPr>
          <w:sz w:val="24"/>
        </w:rPr>
      </w:pPr>
      <w:r>
        <w:rPr>
          <w:sz w:val="24"/>
        </w:rPr>
        <w:t>矿石运输采用汽车运输，包括外部运输和采场内运送。外部运输：矿山有乡村公路与S308相连，可达桃江县城、益阳市、长沙市等地，具备汽车运输条件，材料的运进、产品的运出方便。采场运送：采场采用机械装车、汽车运输送至堆放点。</w:t>
      </w:r>
    </w:p>
    <w:p>
      <w:pPr>
        <w:spacing w:line="360" w:lineRule="auto"/>
        <w:ind w:firstLine="480" w:firstLineChars="200"/>
        <w:rPr>
          <w:sz w:val="24"/>
        </w:rPr>
      </w:pPr>
      <w:r>
        <w:rPr>
          <w:sz w:val="24"/>
        </w:rPr>
        <w:t>5、顶底板管理方法</w:t>
      </w:r>
    </w:p>
    <w:p>
      <w:pPr>
        <w:spacing w:line="360" w:lineRule="auto"/>
        <w:ind w:firstLine="480" w:firstLineChars="200"/>
        <w:rPr>
          <w:sz w:val="24"/>
        </w:rPr>
      </w:pPr>
      <w:r>
        <w:rPr>
          <w:sz w:val="24"/>
        </w:rPr>
        <w:t>矿山开采的花岗岩顶板为残坡积层、腐殖土，厚度约4.5m，开采期需剥离，底板为花岗岩原岩，矿山开采无需进行特殊顶底板管理。</w:t>
      </w:r>
    </w:p>
    <w:p>
      <w:pPr>
        <w:spacing w:line="360" w:lineRule="auto"/>
        <w:ind w:firstLine="480" w:firstLineChars="200"/>
        <w:rPr>
          <w:sz w:val="24"/>
        </w:rPr>
      </w:pPr>
      <w:r>
        <w:rPr>
          <w:sz w:val="24"/>
        </w:rPr>
        <w:t>6、生产能力</w:t>
      </w:r>
    </w:p>
    <w:p>
      <w:pPr>
        <w:autoSpaceDE w:val="0"/>
        <w:autoSpaceDN w:val="0"/>
        <w:adjustRightInd w:val="0"/>
        <w:spacing w:line="360" w:lineRule="auto"/>
        <w:ind w:firstLine="480" w:firstLineChars="200"/>
        <w:jc w:val="left"/>
        <w:rPr>
          <w:sz w:val="24"/>
        </w:rPr>
      </w:pPr>
      <w:r>
        <w:rPr>
          <w:sz w:val="24"/>
        </w:rPr>
        <w:t>矿山核定的生产规模为</w:t>
      </w:r>
      <w:r>
        <w:rPr>
          <w:rFonts w:hint="eastAsia"/>
          <w:sz w:val="24"/>
        </w:rPr>
        <w:t>****</w:t>
      </w:r>
      <w:r>
        <w:rPr>
          <w:sz w:val="24"/>
        </w:rPr>
        <w:t>万m</w:t>
      </w:r>
      <w:r>
        <w:rPr>
          <w:sz w:val="24"/>
          <w:vertAlign w:val="superscript"/>
        </w:rPr>
        <w:t>3</w:t>
      </w:r>
      <w:r>
        <w:rPr>
          <w:sz w:val="24"/>
        </w:rPr>
        <w:t>/a。矿山为多年生产的老矿山，本矿井主要系统设备设施均按已</w:t>
      </w:r>
      <w:r>
        <w:rPr>
          <w:rFonts w:hint="eastAsia"/>
          <w:sz w:val="24"/>
        </w:rPr>
        <w:t>*****</w:t>
      </w:r>
      <w:r>
        <w:rPr>
          <w:sz w:val="24"/>
        </w:rPr>
        <w:t>万m</w:t>
      </w:r>
      <w:r>
        <w:rPr>
          <w:sz w:val="24"/>
          <w:vertAlign w:val="superscript"/>
        </w:rPr>
        <w:t>3</w:t>
      </w:r>
      <w:r>
        <w:rPr>
          <w:sz w:val="24"/>
        </w:rPr>
        <w:t>/a配备，按</w:t>
      </w:r>
      <w:r>
        <w:rPr>
          <w:rFonts w:hint="eastAsia"/>
          <w:sz w:val="24"/>
        </w:rPr>
        <w:t>*****</w:t>
      </w:r>
      <w:r>
        <w:rPr>
          <w:sz w:val="24"/>
        </w:rPr>
        <w:t>万m</w:t>
      </w:r>
      <w:r>
        <w:rPr>
          <w:sz w:val="24"/>
          <w:vertAlign w:val="superscript"/>
        </w:rPr>
        <w:t>3</w:t>
      </w:r>
      <w:r>
        <w:rPr>
          <w:sz w:val="24"/>
        </w:rPr>
        <w:t>/a规模建设，可利用已有设备设施，有利于优化投资。</w:t>
      </w:r>
    </w:p>
    <w:p>
      <w:pPr>
        <w:spacing w:line="360" w:lineRule="auto"/>
        <w:ind w:firstLine="480" w:firstLineChars="200"/>
        <w:rPr>
          <w:sz w:val="24"/>
        </w:rPr>
      </w:pPr>
      <w:r>
        <w:rPr>
          <w:sz w:val="24"/>
        </w:rPr>
        <w:t>7、“三率”指标</w:t>
      </w:r>
    </w:p>
    <w:p>
      <w:pPr>
        <w:autoSpaceDE w:val="0"/>
        <w:autoSpaceDN w:val="0"/>
        <w:adjustRightInd w:val="0"/>
        <w:spacing w:line="360" w:lineRule="auto"/>
        <w:ind w:firstLine="480" w:firstLineChars="200"/>
        <w:jc w:val="left"/>
        <w:rPr>
          <w:sz w:val="24"/>
        </w:rPr>
      </w:pPr>
      <w:r>
        <w:rPr>
          <w:sz w:val="24"/>
        </w:rPr>
        <w:t xml:space="preserve">矿山设计开采回采率 </w:t>
      </w:r>
      <w:r>
        <w:rPr>
          <w:rFonts w:hint="eastAsia"/>
          <w:sz w:val="24"/>
        </w:rPr>
        <w:t>****</w:t>
      </w:r>
      <w:r>
        <w:rPr>
          <w:sz w:val="24"/>
        </w:rPr>
        <w:t>%，损失率为</w:t>
      </w:r>
      <w:r>
        <w:rPr>
          <w:rFonts w:hint="eastAsia"/>
          <w:sz w:val="24"/>
        </w:rPr>
        <w:t>***</w:t>
      </w:r>
      <w:r>
        <w:rPr>
          <w:sz w:val="24"/>
        </w:rPr>
        <w:t>%。</w:t>
      </w:r>
    </w:p>
    <w:p>
      <w:pPr>
        <w:spacing w:line="360" w:lineRule="auto"/>
        <w:ind w:firstLine="480" w:firstLineChars="200"/>
        <w:rPr>
          <w:sz w:val="24"/>
        </w:rPr>
      </w:pPr>
      <w:r>
        <w:rPr>
          <w:sz w:val="24"/>
        </w:rPr>
        <w:t>8、矿山废水排放</w:t>
      </w:r>
    </w:p>
    <w:p>
      <w:pPr>
        <w:spacing w:line="360" w:lineRule="auto"/>
        <w:ind w:firstLine="480" w:firstLineChars="200"/>
        <w:rPr>
          <w:sz w:val="24"/>
        </w:rPr>
      </w:pPr>
      <w:r>
        <w:rPr>
          <w:kern w:val="0"/>
          <w:sz w:val="24"/>
        </w:rPr>
        <w:t>矿区运输道路标高</w:t>
      </w:r>
      <w:r>
        <w:rPr>
          <w:rFonts w:hint="eastAsia"/>
          <w:kern w:val="0"/>
          <w:sz w:val="24"/>
        </w:rPr>
        <w:t>**</w:t>
      </w:r>
      <w:r>
        <w:rPr>
          <w:kern w:val="0"/>
          <w:sz w:val="24"/>
        </w:rPr>
        <w:t>米左右，</w:t>
      </w:r>
      <w:r>
        <w:rPr>
          <w:rFonts w:hint="eastAsia"/>
          <w:kern w:val="0"/>
          <w:sz w:val="24"/>
        </w:rPr>
        <w:t>**</w:t>
      </w:r>
      <w:r>
        <w:rPr>
          <w:kern w:val="0"/>
          <w:sz w:val="24"/>
        </w:rPr>
        <w:t>m台阶以上废水通过自流入沉淀处理池，</w:t>
      </w:r>
      <w:r>
        <w:rPr>
          <w:rFonts w:hint="eastAsia"/>
          <w:kern w:val="0"/>
          <w:sz w:val="24"/>
        </w:rPr>
        <w:t>**</w:t>
      </w:r>
      <w:r>
        <w:rPr>
          <w:kern w:val="0"/>
          <w:sz w:val="24"/>
        </w:rPr>
        <w:t>m台阶以下通过机械抽排至沉淀处理池，通过处理后进入碎石生产线循环自用，如有多余处理达标后向外排放。</w:t>
      </w:r>
    </w:p>
    <w:p>
      <w:pPr>
        <w:spacing w:line="360" w:lineRule="auto"/>
        <w:ind w:firstLine="480" w:firstLineChars="200"/>
        <w:rPr>
          <w:sz w:val="24"/>
        </w:rPr>
      </w:pPr>
      <w:r>
        <w:rPr>
          <w:sz w:val="24"/>
        </w:rPr>
        <w:t>9、厂址选择</w:t>
      </w:r>
    </w:p>
    <w:p>
      <w:pPr>
        <w:autoSpaceDE w:val="0"/>
        <w:autoSpaceDN w:val="0"/>
        <w:adjustRightInd w:val="0"/>
        <w:spacing w:line="360" w:lineRule="auto"/>
        <w:ind w:firstLine="480" w:firstLineChars="200"/>
        <w:jc w:val="left"/>
        <w:rPr>
          <w:kern w:val="0"/>
          <w:sz w:val="24"/>
        </w:rPr>
      </w:pPr>
      <w:r>
        <w:rPr>
          <w:kern w:val="0"/>
          <w:sz w:val="24"/>
        </w:rPr>
        <w:t>矿山已建成工业广场，位于矿山东部，包括矿山办公室、矿石加工机房、皮带运输设备、成品库等，面积约</w:t>
      </w:r>
      <w:r>
        <w:rPr>
          <w:rFonts w:hint="eastAsia"/>
          <w:kern w:val="0"/>
          <w:sz w:val="24"/>
        </w:rPr>
        <w:t>******</w:t>
      </w:r>
      <w:r>
        <w:rPr>
          <w:kern w:val="0"/>
          <w:sz w:val="24"/>
        </w:rPr>
        <w:t>m</w:t>
      </w:r>
      <w:r>
        <w:rPr>
          <w:kern w:val="0"/>
          <w:sz w:val="24"/>
          <w:vertAlign w:val="superscript"/>
        </w:rPr>
        <w:t>2</w:t>
      </w:r>
      <w:r>
        <w:rPr>
          <w:kern w:val="0"/>
          <w:sz w:val="24"/>
        </w:rPr>
        <w:t>。</w:t>
      </w:r>
    </w:p>
    <w:p>
      <w:pPr>
        <w:autoSpaceDE w:val="0"/>
        <w:autoSpaceDN w:val="0"/>
        <w:adjustRightInd w:val="0"/>
        <w:spacing w:line="360" w:lineRule="auto"/>
        <w:ind w:firstLine="480" w:firstLineChars="200"/>
        <w:jc w:val="left"/>
        <w:rPr>
          <w:kern w:val="0"/>
          <w:sz w:val="24"/>
        </w:rPr>
      </w:pPr>
      <w:r>
        <w:rPr>
          <w:kern w:val="0"/>
          <w:sz w:val="24"/>
        </w:rPr>
        <w:t>采场运输：采场采用机械装车、汽车运输送至堆放点。</w:t>
      </w:r>
    </w:p>
    <w:p>
      <w:pPr>
        <w:spacing w:line="360" w:lineRule="auto"/>
        <w:ind w:firstLine="480" w:firstLineChars="200"/>
        <w:rPr>
          <w:sz w:val="24"/>
        </w:rPr>
      </w:pPr>
      <w:r>
        <w:rPr>
          <w:sz w:val="24"/>
        </w:rPr>
        <w:t>10、产品方案</w:t>
      </w:r>
    </w:p>
    <w:p>
      <w:pPr>
        <w:autoSpaceDE w:val="0"/>
        <w:autoSpaceDN w:val="0"/>
        <w:adjustRightInd w:val="0"/>
        <w:spacing w:line="360" w:lineRule="auto"/>
        <w:ind w:firstLine="480" w:firstLineChars="200"/>
        <w:jc w:val="left"/>
        <w:rPr>
          <w:kern w:val="0"/>
          <w:sz w:val="24"/>
        </w:rPr>
      </w:pPr>
      <w:r>
        <w:rPr>
          <w:kern w:val="0"/>
          <w:sz w:val="24"/>
        </w:rPr>
        <w:t>矿区花岗岩矿开采、加工工艺流程简单，生产成本低，开采效益较好，用途较广，无法切割成型的通过加工成建筑用碎石销售，销售均价</w:t>
      </w:r>
      <w:r>
        <w:rPr>
          <w:rFonts w:hint="eastAsia"/>
          <w:kern w:val="0"/>
          <w:sz w:val="24"/>
        </w:rPr>
        <w:t>****</w:t>
      </w:r>
      <w:r>
        <w:rPr>
          <w:kern w:val="0"/>
          <w:sz w:val="24"/>
        </w:rPr>
        <w:t>元/吨左右；花岗岩的风化层经水洗分选后，颗粒可作建筑用砂销售，销售均价</w:t>
      </w:r>
      <w:r>
        <w:rPr>
          <w:rFonts w:hint="eastAsia"/>
          <w:kern w:val="0"/>
          <w:sz w:val="24"/>
        </w:rPr>
        <w:t>****</w:t>
      </w:r>
      <w:r>
        <w:rPr>
          <w:kern w:val="0"/>
          <w:sz w:val="24"/>
        </w:rPr>
        <w:t>元/吨左右，泥质经压滤后用作制砖材料，部分矿石通过切割成型的作为花岗岩荒料销售，因其抛光性能差，主要用于生产条石、路沿石等低档产品，销售均价在</w:t>
      </w:r>
      <w:r>
        <w:rPr>
          <w:rFonts w:hint="eastAsia"/>
          <w:kern w:val="0"/>
          <w:sz w:val="24"/>
        </w:rPr>
        <w:t>****</w:t>
      </w:r>
      <w:r>
        <w:rPr>
          <w:kern w:val="0"/>
          <w:sz w:val="24"/>
        </w:rPr>
        <w:t>元/吨左右，通过加工后经济效益明显提升。本开发利用方案确定的产品方案为：建筑碎石、机制砂、花岗岩荒料。</w:t>
      </w:r>
    </w:p>
    <w:p>
      <w:pPr>
        <w:pStyle w:val="2"/>
        <w:spacing w:after="0" w:line="360" w:lineRule="auto"/>
        <w:ind w:firstLine="480" w:firstLineChars="200"/>
        <w:rPr>
          <w:kern w:val="0"/>
          <w:sz w:val="24"/>
        </w:rPr>
        <w:sectPr>
          <w:pgSz w:w="11906" w:h="16838"/>
          <w:pgMar w:top="1440" w:right="1440" w:bottom="1440" w:left="1559" w:header="851" w:footer="992" w:gutter="0"/>
          <w:cols w:space="720" w:num="1"/>
          <w:docGrid w:type="lines" w:linePitch="312" w:charSpace="0"/>
        </w:sectPr>
      </w:pPr>
      <w:r>
        <w:rPr>
          <w:rFonts w:hint="eastAsia"/>
          <w:kern w:val="0"/>
          <w:sz w:val="24"/>
        </w:rPr>
        <w:t>开发方案见图1-4、1-5、1-6。</w:t>
      </w:r>
    </w:p>
    <w:p>
      <w:pPr>
        <w:spacing w:line="360" w:lineRule="auto"/>
        <w:jc w:val="center"/>
        <w:rPr>
          <w:sz w:val="24"/>
        </w:rPr>
      </w:pPr>
      <w:r>
        <w:rPr>
          <w:sz w:val="24"/>
        </w:rPr>
        <w:drawing>
          <wp:inline distT="0" distB="0" distL="114300" distR="114300">
            <wp:extent cx="10347960" cy="7927975"/>
            <wp:effectExtent l="0" t="0" r="15240" b="15875"/>
            <wp:docPr id="7" name="图片 7" descr="116cb34c91e9b902c44de1fe4199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6cb34c91e9b902c44de1fe4199e11"/>
                    <pic:cNvPicPr>
                      <a:picLocks noChangeAspect="1"/>
                    </pic:cNvPicPr>
                  </pic:nvPicPr>
                  <pic:blipFill>
                    <a:blip r:embed="rId27"/>
                    <a:stretch>
                      <a:fillRect/>
                    </a:stretch>
                  </pic:blipFill>
                  <pic:spPr>
                    <a:xfrm>
                      <a:off x="0" y="0"/>
                      <a:ext cx="10347960" cy="7927975"/>
                    </a:xfrm>
                    <a:prstGeom prst="rect">
                      <a:avLst/>
                    </a:prstGeom>
                  </pic:spPr>
                </pic:pic>
              </a:graphicData>
            </a:graphic>
          </wp:inline>
        </w:drawing>
      </w:r>
    </w:p>
    <w:p>
      <w:pPr>
        <w:pStyle w:val="2"/>
        <w:jc w:val="center"/>
        <w:rPr>
          <w:kern w:val="0"/>
          <w:sz w:val="24"/>
        </w:rPr>
      </w:pPr>
      <w:r>
        <w:rPr>
          <w:rFonts w:hint="eastAsia"/>
          <w:kern w:val="0"/>
          <w:sz w:val="24"/>
        </w:rPr>
        <w:t>图1-4地形地质及开拓工程平面图</w:t>
      </w:r>
    </w:p>
    <w:p>
      <w:pPr>
        <w:pStyle w:val="2"/>
        <w:jc w:val="center"/>
      </w:pPr>
      <w:r>
        <w:drawing>
          <wp:inline distT="0" distB="0" distL="114300" distR="114300">
            <wp:extent cx="9714865" cy="7857490"/>
            <wp:effectExtent l="0" t="0" r="635" b="10160"/>
            <wp:docPr id="17" name="图片 17" descr="微信图片_202303011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3011531001"/>
                    <pic:cNvPicPr>
                      <a:picLocks noChangeAspect="1"/>
                    </pic:cNvPicPr>
                  </pic:nvPicPr>
                  <pic:blipFill>
                    <a:blip r:embed="rId28"/>
                    <a:stretch>
                      <a:fillRect/>
                    </a:stretch>
                  </pic:blipFill>
                  <pic:spPr>
                    <a:xfrm>
                      <a:off x="0" y="0"/>
                      <a:ext cx="9714865" cy="7857490"/>
                    </a:xfrm>
                    <a:prstGeom prst="rect">
                      <a:avLst/>
                    </a:prstGeom>
                  </pic:spPr>
                </pic:pic>
              </a:graphicData>
            </a:graphic>
          </wp:inline>
        </w:drawing>
      </w:r>
    </w:p>
    <w:p>
      <w:pPr>
        <w:jc w:val="center"/>
        <w:rPr>
          <w:kern w:val="0"/>
          <w:sz w:val="24"/>
        </w:rPr>
        <w:sectPr>
          <w:pgSz w:w="23811" w:h="16838" w:orient="landscape"/>
          <w:pgMar w:top="1797" w:right="1440" w:bottom="1570" w:left="1440" w:header="851" w:footer="992" w:gutter="0"/>
          <w:cols w:space="720" w:num="1"/>
          <w:docGrid w:type="lines" w:linePitch="312" w:charSpace="0"/>
        </w:sectPr>
      </w:pPr>
      <w:r>
        <w:rPr>
          <w:rFonts w:hint="eastAsia"/>
          <w:kern w:val="0"/>
          <w:sz w:val="24"/>
        </w:rPr>
        <w:t>图1-5     最终境界图</w:t>
      </w:r>
    </w:p>
    <w:p>
      <w:pPr>
        <w:spacing w:line="360" w:lineRule="auto"/>
        <w:jc w:val="center"/>
        <w:rPr>
          <w:sz w:val="24"/>
        </w:rPr>
      </w:pPr>
      <w:r>
        <w:rPr>
          <w:sz w:val="24"/>
        </w:rPr>
        <w:drawing>
          <wp:inline distT="0" distB="0" distL="114300" distR="114300">
            <wp:extent cx="13273405" cy="6029960"/>
            <wp:effectExtent l="0" t="0" r="4445" b="8890"/>
            <wp:docPr id="18" name="图片 18" descr="微信图片_20230301153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3011531007"/>
                    <pic:cNvPicPr>
                      <a:picLocks noChangeAspect="1"/>
                    </pic:cNvPicPr>
                  </pic:nvPicPr>
                  <pic:blipFill>
                    <a:blip r:embed="rId29"/>
                    <a:stretch>
                      <a:fillRect/>
                    </a:stretch>
                  </pic:blipFill>
                  <pic:spPr>
                    <a:xfrm>
                      <a:off x="0" y="0"/>
                      <a:ext cx="13273405" cy="6029960"/>
                    </a:xfrm>
                    <a:prstGeom prst="rect">
                      <a:avLst/>
                    </a:prstGeom>
                  </pic:spPr>
                </pic:pic>
              </a:graphicData>
            </a:graphic>
          </wp:inline>
        </w:drawing>
      </w:r>
    </w:p>
    <w:p>
      <w:pPr>
        <w:jc w:val="center"/>
        <w:rPr>
          <w:kern w:val="0"/>
          <w:sz w:val="24"/>
        </w:rPr>
      </w:pPr>
    </w:p>
    <w:p>
      <w:pPr>
        <w:jc w:val="center"/>
        <w:rPr>
          <w:kern w:val="0"/>
          <w:sz w:val="24"/>
        </w:rPr>
        <w:sectPr>
          <w:pgSz w:w="23811" w:h="16838" w:orient="landscape"/>
          <w:pgMar w:top="1797" w:right="1440" w:bottom="1570" w:left="1440" w:header="851" w:footer="992" w:gutter="0"/>
          <w:cols w:space="720" w:num="1"/>
          <w:docGrid w:type="lines" w:linePitch="312" w:charSpace="0"/>
        </w:sectPr>
      </w:pPr>
      <w:r>
        <w:rPr>
          <w:rFonts w:hint="eastAsia"/>
          <w:kern w:val="0"/>
          <w:sz w:val="24"/>
        </w:rPr>
        <w:t>图1-6      开采终了剖面图</w:t>
      </w:r>
    </w:p>
    <w:bookmarkEnd w:id="28"/>
    <w:p>
      <w:pPr>
        <w:pStyle w:val="5"/>
        <w:spacing w:before="0" w:after="0" w:line="440" w:lineRule="exact"/>
        <w:jc w:val="left"/>
        <w:rPr>
          <w:b w:val="0"/>
          <w:bCs w:val="0"/>
          <w:sz w:val="24"/>
        </w:rPr>
      </w:pPr>
      <w:r>
        <w:rPr>
          <w:b w:val="0"/>
          <w:bCs w:val="0"/>
          <w:sz w:val="24"/>
        </w:rPr>
        <w:t>（三）生态保护修复现状</w:t>
      </w:r>
    </w:p>
    <w:p>
      <w:pPr>
        <w:autoSpaceDE w:val="0"/>
        <w:autoSpaceDN w:val="0"/>
        <w:adjustRightInd w:val="0"/>
        <w:spacing w:line="360" w:lineRule="auto"/>
        <w:ind w:firstLine="480" w:firstLineChars="200"/>
        <w:jc w:val="left"/>
        <w:rPr>
          <w:kern w:val="0"/>
          <w:sz w:val="24"/>
        </w:rPr>
      </w:pPr>
      <w:bookmarkStart w:id="29" w:name="_Hlk74387010"/>
      <w:r>
        <w:rPr>
          <w:kern w:val="0"/>
          <w:sz w:val="24"/>
        </w:rPr>
        <w:t>矿山自开采以来，企业高度重视矿区复垦复绿工作，积极开展矿山地质环境恢复治理和绿色矿山建设，并已完成了部分生态环境治理修复和绿色矿山建设</w:t>
      </w:r>
      <w:r>
        <w:rPr>
          <w:rFonts w:hint="eastAsia"/>
          <w:kern w:val="0"/>
          <w:sz w:val="24"/>
        </w:rPr>
        <w:t>（图1-7）</w:t>
      </w:r>
      <w:r>
        <w:rPr>
          <w:kern w:val="0"/>
          <w:sz w:val="24"/>
        </w:rPr>
        <w:t>。据已有资料及本次现场调查了解，共投资</w:t>
      </w:r>
      <w:r>
        <w:rPr>
          <w:rFonts w:hint="eastAsia"/>
          <w:kern w:val="0"/>
          <w:sz w:val="24"/>
        </w:rPr>
        <w:t>*******</w:t>
      </w:r>
      <w:r>
        <w:rPr>
          <w:kern w:val="0"/>
          <w:sz w:val="24"/>
        </w:rPr>
        <w:t>万元完成了以下工作：</w:t>
      </w:r>
    </w:p>
    <w:p>
      <w:pPr>
        <w:autoSpaceDE w:val="0"/>
        <w:autoSpaceDN w:val="0"/>
        <w:adjustRightInd w:val="0"/>
        <w:spacing w:line="360" w:lineRule="auto"/>
        <w:ind w:firstLine="480" w:firstLineChars="200"/>
        <w:jc w:val="left"/>
        <w:rPr>
          <w:kern w:val="0"/>
          <w:sz w:val="24"/>
        </w:rPr>
      </w:pPr>
      <w:r>
        <w:rPr>
          <w:kern w:val="0"/>
          <w:sz w:val="24"/>
        </w:rPr>
        <w:t>（1）2018年至2023年间，矿山设置警示标牌等，费用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（2）2021年间修建平台内侧排水沟以及运输道路排水沟，费用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（3）2020年至2022年间，修建沉淀池和洗车池等设施，费用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（4）2019年至2023年间，尾矿、废土处置，挡土墙建设，费用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（5）2018年至2023年间，生态环境动态监测，地质灾害监测设备等，费用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（6）2019年至2023年间，水环境治理，压滤设备、运行等，费用</w:t>
      </w:r>
      <w:r>
        <w:rPr>
          <w:rFonts w:hint="eastAsia"/>
          <w:kern w:val="0"/>
          <w:sz w:val="24"/>
        </w:rPr>
        <w:t>***</w:t>
      </w:r>
      <w:r>
        <w:rPr>
          <w:kern w:val="0"/>
          <w:sz w:val="24"/>
        </w:rPr>
        <w:t>万元。</w:t>
      </w:r>
    </w:p>
    <w:p>
      <w:pPr>
        <w:autoSpaceDE w:val="0"/>
        <w:autoSpaceDN w:val="0"/>
        <w:adjustRightInd w:val="0"/>
        <w:spacing w:line="360" w:lineRule="auto"/>
        <w:ind w:firstLine="480" w:firstLineChars="200"/>
        <w:jc w:val="left"/>
        <w:rPr>
          <w:kern w:val="0"/>
          <w:sz w:val="24"/>
        </w:rPr>
      </w:pPr>
      <w:r>
        <w:rPr>
          <w:kern w:val="0"/>
          <w:sz w:val="24"/>
        </w:rPr>
        <w:t>（7）2021年至2022年间，矿区复绿工程，边坡、平台种植乔灌草共计</w:t>
      </w:r>
      <w:r>
        <w:rPr>
          <w:rFonts w:hint="eastAsia"/>
          <w:kern w:val="0"/>
          <w:sz w:val="24"/>
        </w:rPr>
        <w:t>****</w:t>
      </w:r>
      <w:r>
        <w:rPr>
          <w:kern w:val="0"/>
          <w:sz w:val="24"/>
        </w:rPr>
        <w:t>公顷，费用</w:t>
      </w:r>
      <w:r>
        <w:rPr>
          <w:rFonts w:hint="eastAsia"/>
          <w:kern w:val="0"/>
          <w:sz w:val="24"/>
        </w:rPr>
        <w:t>**</w:t>
      </w:r>
      <w:r>
        <w:rPr>
          <w:kern w:val="0"/>
          <w:sz w:val="24"/>
        </w:rPr>
        <w:t>万元。矿区绿化覆盖率达到可绿化面积的</w:t>
      </w:r>
      <w:r>
        <w:rPr>
          <w:rFonts w:hint="eastAsia"/>
          <w:kern w:val="0"/>
          <w:sz w:val="24"/>
        </w:rPr>
        <w:t>**</w:t>
      </w:r>
      <w:r>
        <w:rPr>
          <w:kern w:val="0"/>
          <w:sz w:val="24"/>
        </w:rPr>
        <w:t>%以上，基本实现矿区环境天蓝、地绿、水净；矿山科学布置开采工作、延缓外侧山体开采等措施降低对可视景观的影响。</w:t>
      </w:r>
    </w:p>
    <w:p>
      <w:pPr>
        <w:autoSpaceDE w:val="0"/>
        <w:autoSpaceDN w:val="0"/>
        <w:adjustRightInd w:val="0"/>
        <w:spacing w:line="360" w:lineRule="auto"/>
        <w:ind w:firstLine="480" w:firstLineChars="200"/>
        <w:jc w:val="left"/>
        <w:rPr>
          <w:kern w:val="0"/>
          <w:sz w:val="24"/>
        </w:rPr>
      </w:pPr>
      <w:r>
        <w:rPr>
          <w:kern w:val="0"/>
          <w:sz w:val="24"/>
        </w:rPr>
        <w:t>（8）2019至2023年间，与当地村组开展村民旅游、资助困难学生和困难户、基础设施建设、民生工程等，费用</w:t>
      </w:r>
      <w:r>
        <w:rPr>
          <w:rFonts w:hint="eastAsia"/>
          <w:kern w:val="0"/>
          <w:sz w:val="24"/>
        </w:rPr>
        <w:t>**</w:t>
      </w:r>
      <w:r>
        <w:rPr>
          <w:kern w:val="0"/>
          <w:sz w:val="24"/>
        </w:rPr>
        <w:t>万元。</w:t>
      </w:r>
    </w:p>
    <w:p>
      <w:pPr>
        <w:autoSpaceDE w:val="0"/>
        <w:autoSpaceDN w:val="0"/>
        <w:adjustRightInd w:val="0"/>
        <w:spacing w:line="360" w:lineRule="auto"/>
        <w:ind w:firstLine="420" w:firstLineChars="200"/>
        <w:jc w:val="left"/>
      </w:pPr>
    </w:p>
    <w:p>
      <w:pPr>
        <w:pStyle w:val="2"/>
      </w:pPr>
    </w:p>
    <w:p/>
    <w:p>
      <w:pPr>
        <w:pStyle w:val="2"/>
      </w:pPr>
    </w:p>
    <w:p/>
    <w:p>
      <w:pPr>
        <w:pStyle w:val="2"/>
      </w:pPr>
    </w:p>
    <w:p/>
    <w:p>
      <w:pPr>
        <w:pStyle w:val="2"/>
      </w:pPr>
    </w:p>
    <w:p/>
    <w:p>
      <w:pPr>
        <w:pStyle w:val="2"/>
      </w:pPr>
    </w:p>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4"/>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pct"/>
          </w:tcPr>
          <w:p>
            <w:pPr>
              <w:autoSpaceDE w:val="0"/>
              <w:autoSpaceDN w:val="0"/>
              <w:adjustRightInd w:val="0"/>
              <w:spacing w:line="360" w:lineRule="auto"/>
              <w:jc w:val="left"/>
              <w:rPr>
                <w:kern w:val="0"/>
                <w:sz w:val="24"/>
              </w:rPr>
            </w:pPr>
            <w:r>
              <w:rPr>
                <w:kern w:val="0"/>
                <w:sz w:val="24"/>
              </w:rPr>
              <w:drawing>
                <wp:inline distT="0" distB="0" distL="114300" distR="114300">
                  <wp:extent cx="2752725" cy="2064385"/>
                  <wp:effectExtent l="0" t="0" r="5715" b="8255"/>
                  <wp:docPr id="35" name="图片 35" descr="IMG_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769"/>
                          <pic:cNvPicPr>
                            <a:picLocks noChangeAspect="1"/>
                          </pic:cNvPicPr>
                        </pic:nvPicPr>
                        <pic:blipFill>
                          <a:blip r:embed="rId30"/>
                          <a:stretch>
                            <a:fillRect/>
                          </a:stretch>
                        </pic:blipFill>
                        <pic:spPr>
                          <a:xfrm>
                            <a:off x="0" y="0"/>
                            <a:ext cx="2752725" cy="2064385"/>
                          </a:xfrm>
                          <a:prstGeom prst="rect">
                            <a:avLst/>
                          </a:prstGeom>
                        </pic:spPr>
                      </pic:pic>
                    </a:graphicData>
                  </a:graphic>
                </wp:inline>
              </w:drawing>
            </w:r>
          </w:p>
        </w:tc>
        <w:tc>
          <w:tcPr>
            <w:tcW w:w="2503" w:type="pct"/>
          </w:tcPr>
          <w:p>
            <w:pPr>
              <w:autoSpaceDE w:val="0"/>
              <w:autoSpaceDN w:val="0"/>
              <w:adjustRightInd w:val="0"/>
              <w:spacing w:line="360" w:lineRule="auto"/>
              <w:jc w:val="left"/>
              <w:rPr>
                <w:kern w:val="0"/>
                <w:sz w:val="24"/>
              </w:rPr>
            </w:pPr>
            <w:r>
              <w:rPr>
                <w:kern w:val="0"/>
                <w:sz w:val="24"/>
              </w:rPr>
              <w:drawing>
                <wp:inline distT="0" distB="0" distL="114300" distR="114300">
                  <wp:extent cx="2752725" cy="2064385"/>
                  <wp:effectExtent l="0" t="0" r="5715" b="8255"/>
                  <wp:docPr id="33" name="图片 33" descr="IMG_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782"/>
                          <pic:cNvPicPr>
                            <a:picLocks noChangeAspect="1"/>
                          </pic:cNvPicPr>
                        </pic:nvPicPr>
                        <pic:blipFill>
                          <a:blip r:embed="rId31"/>
                          <a:stretch>
                            <a:fillRect/>
                          </a:stretch>
                        </pic:blipFill>
                        <pic:spPr>
                          <a:xfrm>
                            <a:off x="0" y="0"/>
                            <a:ext cx="2752725" cy="2064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pct"/>
          </w:tcPr>
          <w:p>
            <w:pPr>
              <w:autoSpaceDE w:val="0"/>
              <w:autoSpaceDN w:val="0"/>
              <w:adjustRightInd w:val="0"/>
              <w:spacing w:line="360" w:lineRule="auto"/>
              <w:jc w:val="left"/>
              <w:rPr>
                <w:kern w:val="0"/>
                <w:sz w:val="24"/>
              </w:rPr>
            </w:pPr>
            <w:r>
              <w:rPr>
                <w:kern w:val="0"/>
                <w:sz w:val="24"/>
              </w:rPr>
              <w:drawing>
                <wp:inline distT="0" distB="0" distL="114300" distR="114300">
                  <wp:extent cx="2752725" cy="2064385"/>
                  <wp:effectExtent l="0" t="0" r="5715" b="8255"/>
                  <wp:docPr id="38" name="图片 38" descr="IMG_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6757"/>
                          <pic:cNvPicPr>
                            <a:picLocks noChangeAspect="1"/>
                          </pic:cNvPicPr>
                        </pic:nvPicPr>
                        <pic:blipFill>
                          <a:blip r:embed="rId32"/>
                          <a:stretch>
                            <a:fillRect/>
                          </a:stretch>
                        </pic:blipFill>
                        <pic:spPr>
                          <a:xfrm flipV="1">
                            <a:off x="0" y="0"/>
                            <a:ext cx="2752725" cy="2064385"/>
                          </a:xfrm>
                          <a:prstGeom prst="rect">
                            <a:avLst/>
                          </a:prstGeom>
                        </pic:spPr>
                      </pic:pic>
                    </a:graphicData>
                  </a:graphic>
                </wp:inline>
              </w:drawing>
            </w:r>
          </w:p>
        </w:tc>
        <w:tc>
          <w:tcPr>
            <w:tcW w:w="2503" w:type="pct"/>
          </w:tcPr>
          <w:p>
            <w:pPr>
              <w:autoSpaceDE w:val="0"/>
              <w:autoSpaceDN w:val="0"/>
              <w:adjustRightInd w:val="0"/>
              <w:spacing w:line="360" w:lineRule="auto"/>
              <w:jc w:val="left"/>
              <w:rPr>
                <w:kern w:val="0"/>
                <w:sz w:val="24"/>
              </w:rPr>
            </w:pPr>
            <w:r>
              <w:rPr>
                <w:kern w:val="0"/>
                <w:sz w:val="24"/>
              </w:rPr>
              <w:drawing>
                <wp:inline distT="0" distB="0" distL="114300" distR="114300">
                  <wp:extent cx="2752725" cy="2064385"/>
                  <wp:effectExtent l="0" t="0" r="5715" b="8255"/>
                  <wp:docPr id="36" name="图片 36" descr="IMG_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6755"/>
                          <pic:cNvPicPr>
                            <a:picLocks noChangeAspect="1"/>
                          </pic:cNvPicPr>
                        </pic:nvPicPr>
                        <pic:blipFill>
                          <a:blip r:embed="rId33"/>
                          <a:stretch>
                            <a:fillRect/>
                          </a:stretch>
                        </pic:blipFill>
                        <pic:spPr>
                          <a:xfrm rot="10800000">
                            <a:off x="0" y="0"/>
                            <a:ext cx="2752725" cy="2064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pct"/>
          </w:tcPr>
          <w:p>
            <w:pPr>
              <w:autoSpaceDE w:val="0"/>
              <w:autoSpaceDN w:val="0"/>
              <w:adjustRightInd w:val="0"/>
              <w:spacing w:line="360" w:lineRule="auto"/>
              <w:jc w:val="left"/>
              <w:rPr>
                <w:kern w:val="0"/>
                <w:sz w:val="24"/>
              </w:rPr>
            </w:pPr>
            <w:r>
              <w:rPr>
                <w:kern w:val="0"/>
                <w:sz w:val="24"/>
              </w:rPr>
              <w:drawing>
                <wp:inline distT="0" distB="0" distL="114300" distR="114300">
                  <wp:extent cx="2669540" cy="2764790"/>
                  <wp:effectExtent l="0" t="0" r="8890" b="12700"/>
                  <wp:docPr id="40" name="图片 40" descr="IMG_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6783"/>
                          <pic:cNvPicPr>
                            <a:picLocks noChangeAspect="1"/>
                          </pic:cNvPicPr>
                        </pic:nvPicPr>
                        <pic:blipFill>
                          <a:blip r:embed="rId34"/>
                          <a:stretch>
                            <a:fillRect/>
                          </a:stretch>
                        </pic:blipFill>
                        <pic:spPr>
                          <a:xfrm rot="5400000">
                            <a:off x="0" y="0"/>
                            <a:ext cx="2669540" cy="2764790"/>
                          </a:xfrm>
                          <a:prstGeom prst="rect">
                            <a:avLst/>
                          </a:prstGeom>
                        </pic:spPr>
                      </pic:pic>
                    </a:graphicData>
                  </a:graphic>
                </wp:inline>
              </w:drawing>
            </w:r>
          </w:p>
        </w:tc>
        <w:tc>
          <w:tcPr>
            <w:tcW w:w="2503" w:type="pct"/>
          </w:tcPr>
          <w:p>
            <w:pPr>
              <w:autoSpaceDE w:val="0"/>
              <w:autoSpaceDN w:val="0"/>
              <w:adjustRightInd w:val="0"/>
              <w:spacing w:line="360" w:lineRule="auto"/>
              <w:jc w:val="left"/>
              <w:rPr>
                <w:kern w:val="0"/>
                <w:sz w:val="24"/>
              </w:rPr>
            </w:pPr>
            <w:r>
              <w:rPr>
                <w:kern w:val="0"/>
                <w:sz w:val="24"/>
              </w:rPr>
              <w:drawing>
                <wp:inline distT="0" distB="0" distL="114300" distR="114300">
                  <wp:extent cx="2765425" cy="2625725"/>
                  <wp:effectExtent l="0" t="0" r="15875" b="3175"/>
                  <wp:docPr id="45" name="图片 45" descr="IMG_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6794"/>
                          <pic:cNvPicPr>
                            <a:picLocks noChangeAspect="1"/>
                          </pic:cNvPicPr>
                        </pic:nvPicPr>
                        <pic:blipFill>
                          <a:blip r:embed="rId35"/>
                          <a:stretch>
                            <a:fillRect/>
                          </a:stretch>
                        </pic:blipFill>
                        <pic:spPr>
                          <a:xfrm>
                            <a:off x="0" y="0"/>
                            <a:ext cx="2765425" cy="2625725"/>
                          </a:xfrm>
                          <a:prstGeom prst="rect">
                            <a:avLst/>
                          </a:prstGeom>
                        </pic:spPr>
                      </pic:pic>
                    </a:graphicData>
                  </a:graphic>
                </wp:inline>
              </w:drawing>
            </w:r>
          </w:p>
        </w:tc>
      </w:tr>
    </w:tbl>
    <w:p/>
    <w:bookmarkEnd w:id="29"/>
    <w:p>
      <w:pPr>
        <w:spacing w:line="360" w:lineRule="auto"/>
        <w:ind w:firstLine="480" w:firstLineChars="200"/>
        <w:jc w:val="center"/>
        <w:rPr>
          <w:rFonts w:eastAsia="仿宋_GB2312"/>
          <w:sz w:val="24"/>
        </w:rPr>
        <w:sectPr>
          <w:pgSz w:w="11906" w:h="16838"/>
          <w:pgMar w:top="1440" w:right="1440" w:bottom="1440" w:left="1559" w:header="851" w:footer="992" w:gutter="0"/>
          <w:cols w:space="720" w:num="1"/>
          <w:docGrid w:type="lines" w:linePitch="312" w:charSpace="0"/>
        </w:sectPr>
      </w:pPr>
      <w:r>
        <w:rPr>
          <w:rFonts w:hint="eastAsia" w:eastAsia="仿宋_GB2312"/>
          <w:sz w:val="24"/>
        </w:rPr>
        <w:t>图1-7  生态修复现状照片</w:t>
      </w:r>
    </w:p>
    <w:bookmarkEnd w:id="22"/>
    <w:p>
      <w:pPr>
        <w:pStyle w:val="3"/>
        <w:spacing w:beforeLines="50" w:afterLines="100" w:line="440" w:lineRule="exact"/>
        <w:jc w:val="center"/>
        <w:rPr>
          <w:b w:val="0"/>
          <w:bCs w:val="0"/>
          <w:sz w:val="32"/>
          <w:szCs w:val="32"/>
        </w:rPr>
      </w:pPr>
      <w:bookmarkStart w:id="30" w:name="_Toc28607"/>
      <w:bookmarkStart w:id="31" w:name="_Toc130937625"/>
      <w:r>
        <w:rPr>
          <w:b w:val="0"/>
          <w:bCs w:val="0"/>
          <w:sz w:val="32"/>
          <w:szCs w:val="32"/>
        </w:rPr>
        <w:t xml:space="preserve">第二章  </w:t>
      </w:r>
      <w:bookmarkEnd w:id="30"/>
      <w:r>
        <w:rPr>
          <w:b w:val="0"/>
          <w:bCs w:val="0"/>
          <w:sz w:val="32"/>
          <w:szCs w:val="32"/>
        </w:rPr>
        <w:t>矿山生态环境背景</w:t>
      </w:r>
      <w:bookmarkEnd w:id="31"/>
    </w:p>
    <w:p>
      <w:pPr>
        <w:pStyle w:val="4"/>
        <w:spacing w:beforeLines="50" w:afterLines="50" w:line="440" w:lineRule="exact"/>
        <w:jc w:val="left"/>
        <w:rPr>
          <w:rFonts w:ascii="Times New Roman" w:hAnsi="Times New Roman" w:eastAsia="宋体"/>
          <w:b w:val="0"/>
          <w:bCs w:val="0"/>
          <w:sz w:val="28"/>
        </w:rPr>
      </w:pPr>
      <w:bookmarkStart w:id="32" w:name="_Toc18340"/>
      <w:bookmarkStart w:id="33" w:name="_Toc130937626"/>
      <w:r>
        <w:rPr>
          <w:rFonts w:ascii="Times New Roman" w:hAnsi="Times New Roman" w:eastAsia="宋体"/>
          <w:b w:val="0"/>
          <w:bCs w:val="0"/>
          <w:sz w:val="28"/>
        </w:rPr>
        <w:t>一、自然地理</w:t>
      </w:r>
      <w:bookmarkEnd w:id="32"/>
      <w:bookmarkEnd w:id="33"/>
    </w:p>
    <w:p>
      <w:pPr>
        <w:pStyle w:val="5"/>
        <w:spacing w:before="0" w:after="0" w:line="360" w:lineRule="auto"/>
        <w:jc w:val="left"/>
        <w:rPr>
          <w:b w:val="0"/>
          <w:bCs w:val="0"/>
          <w:sz w:val="24"/>
        </w:rPr>
      </w:pPr>
      <w:r>
        <w:rPr>
          <w:b w:val="0"/>
          <w:bCs w:val="0"/>
          <w:sz w:val="24"/>
        </w:rPr>
        <w:t>（一）地形地貌</w:t>
      </w:r>
    </w:p>
    <w:p>
      <w:pPr>
        <w:spacing w:line="360" w:lineRule="auto"/>
        <w:ind w:firstLine="480" w:firstLineChars="200"/>
        <w:jc w:val="left"/>
        <w:rPr>
          <w:sz w:val="24"/>
        </w:rPr>
      </w:pPr>
      <w:r>
        <w:rPr>
          <w:sz w:val="24"/>
        </w:rPr>
        <w:t>矿区地貌类型为构造侵蚀剥蚀丘陵地貌</w:t>
      </w:r>
      <w:r>
        <w:rPr>
          <w:rFonts w:hint="eastAsia"/>
          <w:sz w:val="24"/>
        </w:rPr>
        <w:t>（图2-1）</w:t>
      </w:r>
      <w:r>
        <w:rPr>
          <w:sz w:val="24"/>
        </w:rPr>
        <w:t>，图区内最大标高约</w:t>
      </w:r>
      <w:r>
        <w:rPr>
          <w:rFonts w:hint="eastAsia"/>
          <w:sz w:val="24"/>
        </w:rPr>
        <w:t>****</w:t>
      </w:r>
      <w:r>
        <w:rPr>
          <w:sz w:val="24"/>
        </w:rPr>
        <w:t>m，位于矿区西北侧山顶，最小标高约</w:t>
      </w:r>
      <w:r>
        <w:rPr>
          <w:rFonts w:hint="eastAsia"/>
          <w:sz w:val="24"/>
        </w:rPr>
        <w:t>*****</w:t>
      </w:r>
      <w:r>
        <w:rPr>
          <w:sz w:val="24"/>
        </w:rPr>
        <w:t>m。山脊多呈北东方向展布，受地层产状控制。其山脊狭长，山坡有起伏，坡角一般</w:t>
      </w:r>
      <w:r>
        <w:rPr>
          <w:rFonts w:hint="eastAsia"/>
          <w:sz w:val="24"/>
        </w:rPr>
        <w:t>*******</w:t>
      </w:r>
      <w:r>
        <w:rPr>
          <w:sz w:val="24"/>
        </w:rPr>
        <w:t>。地形切割一般，切割深度一般在</w:t>
      </w:r>
      <w:r>
        <w:rPr>
          <w:rFonts w:hint="eastAsia"/>
          <w:sz w:val="24"/>
        </w:rPr>
        <w:t>******</w:t>
      </w:r>
      <w:r>
        <w:rPr>
          <w:sz w:val="24"/>
        </w:rPr>
        <w:t>m间，谷地多呈“U”形，植被发育。</w:t>
      </w:r>
    </w:p>
    <w:p>
      <w:pPr>
        <w:pStyle w:val="5"/>
        <w:spacing w:before="0" w:after="0" w:line="460" w:lineRule="exact"/>
        <w:jc w:val="left"/>
        <w:rPr>
          <w:b w:val="0"/>
          <w:bCs w:val="0"/>
          <w:sz w:val="24"/>
        </w:rPr>
      </w:pPr>
      <w:r>
        <w:rPr>
          <w:b w:val="0"/>
          <w:bCs w:val="0"/>
          <w:sz w:val="24"/>
        </w:rPr>
        <w:t>（二）气象</w:t>
      </w:r>
    </w:p>
    <w:p>
      <w:pPr>
        <w:spacing w:line="360" w:lineRule="auto"/>
        <w:ind w:firstLine="480" w:firstLineChars="200"/>
        <w:rPr>
          <w:sz w:val="24"/>
        </w:rPr>
      </w:pPr>
      <w:r>
        <w:rPr>
          <w:sz w:val="24"/>
        </w:rPr>
        <w:t>矿区地处亚热带季风气候区，气候温和湿润，四季分明。据桃江县气象站1963～2022年气象资料统计，多年平均气温16.3℃～17.0℃，月平均气温28℃～29℃，极端最低气温-5℃，极端最高气温达43.0℃，多年平均降水量1465.1mm，最大年降水量</w:t>
      </w:r>
      <w:r>
        <w:rPr>
          <w:rFonts w:hint="eastAsia"/>
          <w:sz w:val="24"/>
        </w:rPr>
        <w:t>*****</w:t>
      </w:r>
      <w:r>
        <w:rPr>
          <w:sz w:val="24"/>
        </w:rPr>
        <w:t>mm（2002年），最小年降水量</w:t>
      </w:r>
      <w:r>
        <w:rPr>
          <w:rFonts w:hint="eastAsia"/>
          <w:sz w:val="24"/>
        </w:rPr>
        <w:t>****</w:t>
      </w:r>
      <w:r>
        <w:rPr>
          <w:sz w:val="24"/>
        </w:rPr>
        <w:t>mm（1979年），月最大降水量</w:t>
      </w:r>
      <w:r>
        <w:rPr>
          <w:rFonts w:hint="eastAsia"/>
          <w:sz w:val="24"/>
        </w:rPr>
        <w:t>****</w:t>
      </w:r>
      <w:r>
        <w:rPr>
          <w:sz w:val="24"/>
        </w:rPr>
        <w:t>mm（1992年3月），日最大降水量</w:t>
      </w:r>
      <w:r>
        <w:rPr>
          <w:rFonts w:hint="eastAsia"/>
          <w:sz w:val="24"/>
        </w:rPr>
        <w:t>*****</w:t>
      </w:r>
      <w:r>
        <w:rPr>
          <w:sz w:val="24"/>
        </w:rPr>
        <w:t>mm（2002年6月22日），小时最大降水量</w:t>
      </w:r>
      <w:r>
        <w:rPr>
          <w:rFonts w:hint="eastAsia"/>
          <w:sz w:val="24"/>
        </w:rPr>
        <w:t>****</w:t>
      </w:r>
      <w:r>
        <w:rPr>
          <w:sz w:val="24"/>
        </w:rPr>
        <w:t>mm（1996年7月14日11时），各月降水分布不均，大部分降水量集中在4～9月，占全年降水量的65%以上。年均风速1.7m/s，最大风速20m/s，主导风向为北风、西风。</w:t>
      </w:r>
    </w:p>
    <w:p>
      <w:pPr>
        <w:pStyle w:val="5"/>
        <w:spacing w:before="0" w:after="0" w:line="360" w:lineRule="auto"/>
        <w:jc w:val="left"/>
        <w:rPr>
          <w:b w:val="0"/>
          <w:bCs w:val="0"/>
          <w:sz w:val="24"/>
        </w:rPr>
      </w:pPr>
      <w:r>
        <w:rPr>
          <w:b w:val="0"/>
          <w:bCs w:val="0"/>
          <w:sz w:val="24"/>
        </w:rPr>
        <w:t>（三）水文</w:t>
      </w:r>
    </w:p>
    <w:p>
      <w:pPr>
        <w:spacing w:line="360" w:lineRule="auto"/>
        <w:ind w:firstLine="480" w:firstLineChars="200"/>
        <w:rPr>
          <w:sz w:val="24"/>
        </w:rPr>
      </w:pPr>
      <w:bookmarkStart w:id="34" w:name="_Toc24874"/>
      <w:r>
        <w:rPr>
          <w:sz w:val="24"/>
        </w:rPr>
        <w:t>据调查，矿区内水系主要为矿区北西及南东侧的四口水塘和一条小溪，水塘面积</w:t>
      </w:r>
      <w:r>
        <w:rPr>
          <w:rFonts w:hint="eastAsia"/>
          <w:sz w:val="24"/>
        </w:rPr>
        <w:t>******</w:t>
      </w:r>
      <w:r>
        <w:rPr>
          <w:sz w:val="24"/>
        </w:rPr>
        <w:t>m</w:t>
      </w:r>
      <w:r>
        <w:rPr>
          <w:sz w:val="24"/>
          <w:vertAlign w:val="superscript"/>
        </w:rPr>
        <w:t>2</w:t>
      </w:r>
      <w:r>
        <w:rPr>
          <w:sz w:val="24"/>
        </w:rPr>
        <w:t>，水深</w:t>
      </w:r>
      <w:r>
        <w:rPr>
          <w:rFonts w:hint="eastAsia"/>
          <w:sz w:val="24"/>
        </w:rPr>
        <w:t>*****</w:t>
      </w:r>
      <w:r>
        <w:rPr>
          <w:sz w:val="24"/>
        </w:rPr>
        <w:t>m，小溪水深</w:t>
      </w:r>
      <w:r>
        <w:rPr>
          <w:rFonts w:hint="eastAsia"/>
          <w:sz w:val="24"/>
        </w:rPr>
        <w:t>****</w:t>
      </w:r>
      <w:r>
        <w:rPr>
          <w:sz w:val="24"/>
        </w:rPr>
        <w:t>m，水位、水量都呈季节性变化，对矿山开采影响较小。由于当地侵蚀基准面标高+</w:t>
      </w:r>
      <w:r>
        <w:rPr>
          <w:rFonts w:hint="eastAsia"/>
          <w:sz w:val="24"/>
        </w:rPr>
        <w:t>****</w:t>
      </w:r>
      <w:r>
        <w:rPr>
          <w:sz w:val="24"/>
        </w:rPr>
        <w:t>m，矿山设计最低开采标高为+</w:t>
      </w:r>
      <w:r>
        <w:rPr>
          <w:rFonts w:hint="eastAsia"/>
          <w:sz w:val="24"/>
        </w:rPr>
        <w:t>****</w:t>
      </w:r>
      <w:r>
        <w:rPr>
          <w:sz w:val="24"/>
        </w:rPr>
        <w:t>m，矿山最低开采标高高于当地侵蚀基准面，故地表水对矿山开采影响不大。</w:t>
      </w:r>
    </w:p>
    <w:p>
      <w:pPr>
        <w:spacing w:line="360" w:lineRule="auto"/>
        <w:ind w:firstLine="480" w:firstLineChars="200"/>
        <w:rPr>
          <w:sz w:val="24"/>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pPr>
              <w:pStyle w:val="2"/>
              <w:spacing w:after="0"/>
              <w:jc w:val="center"/>
            </w:pPr>
            <w:r>
              <w:drawing>
                <wp:inline distT="0" distB="0" distL="114300" distR="114300">
                  <wp:extent cx="5272405" cy="3778885"/>
                  <wp:effectExtent l="0" t="0" r="635" b="635"/>
                  <wp:docPr id="2" name="图片 2" descr="IMG_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776"/>
                          <pic:cNvPicPr>
                            <a:picLocks noChangeAspect="1"/>
                          </pic:cNvPicPr>
                        </pic:nvPicPr>
                        <pic:blipFill>
                          <a:blip r:embed="rId36"/>
                          <a:stretch>
                            <a:fillRect/>
                          </a:stretch>
                        </pic:blipFill>
                        <pic:spPr>
                          <a:xfrm>
                            <a:off x="0" y="0"/>
                            <a:ext cx="5272405" cy="3778885"/>
                          </a:xfrm>
                          <a:prstGeom prst="rect">
                            <a:avLst/>
                          </a:prstGeom>
                        </pic:spPr>
                      </pic:pic>
                    </a:graphicData>
                  </a:graphic>
                </wp:inline>
              </w:drawing>
            </w:r>
          </w:p>
          <w:p>
            <w:pPr>
              <w:pStyle w:val="2"/>
              <w:adjustRightInd w:val="0"/>
              <w:snapToGrid w:val="0"/>
              <w:spacing w:after="0"/>
              <w:jc w:val="center"/>
            </w:pPr>
            <w:r>
              <w:rPr>
                <w:kern w:val="0"/>
                <w:sz w:val="20"/>
                <w:szCs w:val="22"/>
              </w:rPr>
              <w:t>图2-1  矿区周边低矮丘陵地貌远景</w:t>
            </w:r>
          </w:p>
        </w:tc>
      </w:tr>
      <w:bookmarkEnd w:id="34"/>
    </w:tbl>
    <w:p>
      <w:pPr>
        <w:pStyle w:val="4"/>
        <w:spacing w:beforeLines="50" w:afterLines="50" w:line="440" w:lineRule="exact"/>
        <w:jc w:val="left"/>
        <w:rPr>
          <w:rFonts w:ascii="Times New Roman" w:hAnsi="Times New Roman" w:eastAsia="宋体"/>
          <w:b w:val="0"/>
          <w:bCs w:val="0"/>
          <w:sz w:val="28"/>
        </w:rPr>
      </w:pPr>
      <w:bookmarkStart w:id="35" w:name="_Toc130937627"/>
      <w:bookmarkStart w:id="36" w:name="_Toc25701"/>
      <w:r>
        <w:rPr>
          <w:rFonts w:ascii="Times New Roman" w:hAnsi="Times New Roman" w:eastAsia="宋体"/>
          <w:b w:val="0"/>
          <w:bCs w:val="0"/>
          <w:sz w:val="28"/>
        </w:rPr>
        <w:t>二、地质环境</w:t>
      </w:r>
      <w:bookmarkEnd w:id="35"/>
    </w:p>
    <w:p>
      <w:pPr>
        <w:pStyle w:val="5"/>
        <w:spacing w:before="0" w:after="0" w:line="360" w:lineRule="auto"/>
        <w:jc w:val="left"/>
        <w:rPr>
          <w:b w:val="0"/>
          <w:bCs w:val="0"/>
          <w:sz w:val="24"/>
        </w:rPr>
      </w:pPr>
      <w:r>
        <w:rPr>
          <w:b w:val="0"/>
          <w:bCs w:val="0"/>
          <w:sz w:val="24"/>
        </w:rPr>
        <w:t>（一）地层岩性</w:t>
      </w:r>
      <w:bookmarkEnd w:id="36"/>
    </w:p>
    <w:p>
      <w:pPr>
        <w:autoSpaceDE w:val="0"/>
        <w:autoSpaceDN w:val="0"/>
        <w:adjustRightInd w:val="0"/>
        <w:spacing w:line="360" w:lineRule="auto"/>
        <w:ind w:firstLine="480" w:firstLineChars="200"/>
        <w:jc w:val="left"/>
        <w:rPr>
          <w:sz w:val="24"/>
        </w:rPr>
      </w:pPr>
      <w:bookmarkStart w:id="37" w:name="_Hlk54776953"/>
      <w:bookmarkStart w:id="38" w:name="_Toc4348"/>
      <w:r>
        <w:rPr>
          <w:kern w:val="0"/>
          <w:sz w:val="24"/>
        </w:rPr>
        <w:t>区据实地调查并结合《1：5万石牛江幅区域地质调查报告》，区内出露地层简单，仅为第四系（Qh），主要分布图区西北侧、东侧及南侧，该组主要为残坡积层，零星分布，多见于山前或坡脚，局部可见红化现象，碎屑棱角分明，由灰白色、灰黄色粘土、石英颗粒、岩石碎石，腐植土等组成，厚度一般在</w:t>
      </w:r>
      <w:r>
        <w:rPr>
          <w:rFonts w:hint="eastAsia"/>
          <w:kern w:val="0"/>
          <w:sz w:val="24"/>
        </w:rPr>
        <w:t>*****</w:t>
      </w:r>
      <w:r>
        <w:rPr>
          <w:kern w:val="0"/>
          <w:sz w:val="24"/>
        </w:rPr>
        <w:t>m，平均厚度约</w:t>
      </w:r>
      <w:r>
        <w:rPr>
          <w:rFonts w:hint="eastAsia"/>
          <w:kern w:val="0"/>
          <w:sz w:val="24"/>
        </w:rPr>
        <w:t>****</w:t>
      </w:r>
      <w:r>
        <w:rPr>
          <w:sz w:val="24"/>
        </w:rPr>
        <w:t>。</w:t>
      </w:r>
    </w:p>
    <w:bookmarkEnd w:id="37"/>
    <w:p>
      <w:pPr>
        <w:pStyle w:val="5"/>
        <w:spacing w:before="0" w:after="0" w:line="360" w:lineRule="auto"/>
        <w:jc w:val="left"/>
        <w:rPr>
          <w:b w:val="0"/>
          <w:bCs w:val="0"/>
          <w:sz w:val="24"/>
        </w:rPr>
      </w:pPr>
      <w:r>
        <w:rPr>
          <w:b w:val="0"/>
          <w:bCs w:val="0"/>
          <w:sz w:val="24"/>
        </w:rPr>
        <w:t>（二）地质构造</w:t>
      </w:r>
      <w:bookmarkEnd w:id="38"/>
    </w:p>
    <w:p>
      <w:pPr>
        <w:spacing w:line="360" w:lineRule="auto"/>
        <w:ind w:firstLine="480" w:firstLineChars="200"/>
        <w:rPr>
          <w:sz w:val="24"/>
        </w:rPr>
      </w:pPr>
      <w:bookmarkStart w:id="39" w:name="_Toc14161"/>
      <w:r>
        <w:rPr>
          <w:sz w:val="24"/>
        </w:rPr>
        <w:t>矿区矿体走向大致呈南北向，节理裂隙发育，受节理裂隙影响，地表见球状风化特征，一般沿节理裂隙等薄弱面风化，呈椭球体状，椭球体长轴一般</w:t>
      </w:r>
      <w:r>
        <w:rPr>
          <w:rFonts w:hint="eastAsia"/>
          <w:sz w:val="24"/>
        </w:rPr>
        <w:t>*****</w:t>
      </w:r>
      <w:r>
        <w:rPr>
          <w:sz w:val="24"/>
        </w:rPr>
        <w:t>m，风化后呈灰黄色。据采场观察，岩石中两组共轭节理发育，一组走向走向走向</w:t>
      </w:r>
      <w:r>
        <w:rPr>
          <w:rFonts w:hint="eastAsia"/>
          <w:sz w:val="24"/>
        </w:rPr>
        <w:t>****</w:t>
      </w:r>
      <w:r>
        <w:rPr>
          <w:sz w:val="24"/>
        </w:rPr>
        <w:t>～</w:t>
      </w:r>
      <w:r>
        <w:rPr>
          <w:rFonts w:hint="eastAsia"/>
          <w:sz w:val="24"/>
        </w:rPr>
        <w:t>****</w:t>
      </w:r>
      <w:r>
        <w:rPr>
          <w:sz w:val="24"/>
        </w:rPr>
        <w:t>°，倾向</w:t>
      </w:r>
      <w:r>
        <w:rPr>
          <w:rFonts w:hint="eastAsia"/>
          <w:sz w:val="24"/>
        </w:rPr>
        <w:t>****</w:t>
      </w:r>
      <w:r>
        <w:rPr>
          <w:sz w:val="24"/>
        </w:rPr>
        <w:t>°～</w:t>
      </w:r>
      <w:r>
        <w:rPr>
          <w:rFonts w:hint="eastAsia"/>
          <w:sz w:val="24"/>
        </w:rPr>
        <w:t>***</w:t>
      </w:r>
      <w:r>
        <w:rPr>
          <w:sz w:val="24"/>
        </w:rPr>
        <w:t xml:space="preserve"> °，倾角</w:t>
      </w:r>
      <w:r>
        <w:rPr>
          <w:rFonts w:hint="eastAsia"/>
          <w:sz w:val="24"/>
        </w:rPr>
        <w:t>**</w:t>
      </w:r>
      <w:r>
        <w:rPr>
          <w:sz w:val="24"/>
        </w:rPr>
        <w:t>°～</w:t>
      </w:r>
      <w:r>
        <w:rPr>
          <w:rFonts w:hint="eastAsia"/>
          <w:sz w:val="24"/>
        </w:rPr>
        <w:t>**</w:t>
      </w:r>
      <w:r>
        <w:rPr>
          <w:sz w:val="24"/>
        </w:rPr>
        <w:t>°,另一组走向</w:t>
      </w:r>
      <w:r>
        <w:rPr>
          <w:rFonts w:hint="eastAsia"/>
          <w:sz w:val="24"/>
        </w:rPr>
        <w:t>***</w:t>
      </w:r>
      <w:r>
        <w:rPr>
          <w:sz w:val="24"/>
        </w:rPr>
        <w:t>°～</w:t>
      </w:r>
      <w:r>
        <w:rPr>
          <w:rFonts w:hint="eastAsia"/>
          <w:sz w:val="24"/>
        </w:rPr>
        <w:t>***</w:t>
      </w:r>
      <w:r>
        <w:rPr>
          <w:sz w:val="24"/>
        </w:rPr>
        <w:t>°，倾向</w:t>
      </w:r>
      <w:r>
        <w:rPr>
          <w:rFonts w:hint="eastAsia"/>
          <w:sz w:val="24"/>
        </w:rPr>
        <w:t>**</w:t>
      </w:r>
      <w:r>
        <w:rPr>
          <w:sz w:val="24"/>
        </w:rPr>
        <w:t>°～</w:t>
      </w:r>
      <w:r>
        <w:rPr>
          <w:rFonts w:hint="eastAsia"/>
          <w:sz w:val="24"/>
        </w:rPr>
        <w:t>**</w:t>
      </w:r>
      <w:r>
        <w:rPr>
          <w:sz w:val="24"/>
        </w:rPr>
        <w:t>°，倾角</w:t>
      </w:r>
      <w:r>
        <w:rPr>
          <w:rFonts w:hint="eastAsia"/>
          <w:sz w:val="24"/>
        </w:rPr>
        <w:t>**</w:t>
      </w:r>
      <w:r>
        <w:rPr>
          <w:sz w:val="24"/>
        </w:rPr>
        <w:t>°～</w:t>
      </w:r>
      <w:r>
        <w:rPr>
          <w:rFonts w:hint="eastAsia"/>
          <w:sz w:val="24"/>
        </w:rPr>
        <w:t>**</w:t>
      </w:r>
      <w:r>
        <w:rPr>
          <w:sz w:val="24"/>
        </w:rPr>
        <w:t>°二者倾角近于直立，发育间距一般</w:t>
      </w:r>
      <w:r>
        <w:rPr>
          <w:rFonts w:hint="eastAsia"/>
          <w:sz w:val="24"/>
        </w:rPr>
        <w:t>**</w:t>
      </w:r>
      <w:r>
        <w:rPr>
          <w:sz w:val="24"/>
        </w:rPr>
        <w:t>～</w:t>
      </w:r>
      <w:r>
        <w:rPr>
          <w:rFonts w:hint="eastAsia"/>
          <w:sz w:val="24"/>
        </w:rPr>
        <w:t>**</w:t>
      </w:r>
      <w:r>
        <w:rPr>
          <w:sz w:val="24"/>
        </w:rPr>
        <w:t>m。综合分析，矿区构造属于简单类型。</w:t>
      </w:r>
    </w:p>
    <w:p>
      <w:pPr>
        <w:pStyle w:val="5"/>
        <w:spacing w:before="0" w:after="0" w:line="360" w:lineRule="auto"/>
        <w:jc w:val="left"/>
        <w:rPr>
          <w:b w:val="0"/>
          <w:bCs w:val="0"/>
          <w:sz w:val="24"/>
        </w:rPr>
      </w:pPr>
      <w:r>
        <w:rPr>
          <w:b w:val="0"/>
          <w:bCs w:val="0"/>
          <w:sz w:val="24"/>
        </w:rPr>
        <w:t>（三）岩浆岩</w:t>
      </w:r>
    </w:p>
    <w:p>
      <w:pPr>
        <w:spacing w:line="480" w:lineRule="exact"/>
        <w:ind w:firstLine="480" w:firstLineChars="200"/>
        <w:rPr>
          <w:sz w:val="24"/>
        </w:rPr>
      </w:pPr>
      <w:r>
        <w:rPr>
          <w:sz w:val="24"/>
        </w:rPr>
        <w:t>矿区内出露岩体为加里东晚期第二次侵入体桃江岩体（γδ</w:t>
      </w:r>
      <w:r>
        <w:rPr>
          <w:sz w:val="24"/>
          <w:vertAlign w:val="subscript"/>
        </w:rPr>
        <w:t>3</w:t>
      </w:r>
      <w:r>
        <w:rPr>
          <w:sz w:val="24"/>
        </w:rPr>
        <w:t>3</w:t>
      </w:r>
      <w:r>
        <w:rPr>
          <w:sz w:val="24"/>
          <w:vertAlign w:val="superscript"/>
        </w:rPr>
        <w:t>-2c</w:t>
      </w:r>
      <w:r>
        <w:rPr>
          <w:sz w:val="24"/>
        </w:rPr>
        <w:t>）c带，分布于桃江复式岩体西侧靠东部，大致呈南北向卵圆形包围了鸟山湾石英闪长岩体。总面积约</w:t>
      </w:r>
      <w:r>
        <w:rPr>
          <w:rFonts w:hint="eastAsia"/>
          <w:sz w:val="24"/>
        </w:rPr>
        <w:t>**</w:t>
      </w:r>
      <w:r>
        <w:rPr>
          <w:sz w:val="24"/>
        </w:rPr>
        <w:t>平方公里。岩性为细中—中粒角闪石黑云母花岗闪长岩，带内岩脉和包体均相当发育。岩体表层大部分已风化成为松散颗粒，厚度</w:t>
      </w:r>
      <w:r>
        <w:rPr>
          <w:rFonts w:hint="eastAsia"/>
          <w:sz w:val="24"/>
        </w:rPr>
        <w:t>**</w:t>
      </w:r>
      <w:r>
        <w:rPr>
          <w:sz w:val="24"/>
        </w:rPr>
        <w:t>～</w:t>
      </w:r>
      <w:r>
        <w:rPr>
          <w:rFonts w:hint="eastAsia"/>
          <w:sz w:val="24"/>
        </w:rPr>
        <w:t>**</w:t>
      </w:r>
      <w:r>
        <w:rPr>
          <w:sz w:val="24"/>
        </w:rPr>
        <w:t>m，平均</w:t>
      </w:r>
      <w:r>
        <w:rPr>
          <w:rFonts w:hint="eastAsia"/>
          <w:sz w:val="24"/>
        </w:rPr>
        <w:t>**</w:t>
      </w:r>
      <w:r>
        <w:rPr>
          <w:sz w:val="24"/>
        </w:rPr>
        <w:t>m。区内北侧见二长花岗岩脉。岩石单一，岩性较为稳定，岩石呈灰白色，具典型花岗结构，斑状结构少见。</w:t>
      </w:r>
    </w:p>
    <w:p>
      <w:pPr>
        <w:pStyle w:val="5"/>
        <w:spacing w:before="0" w:after="0" w:line="360" w:lineRule="auto"/>
        <w:jc w:val="left"/>
        <w:rPr>
          <w:b w:val="0"/>
          <w:bCs w:val="0"/>
          <w:sz w:val="24"/>
        </w:rPr>
      </w:pPr>
      <w:r>
        <w:rPr>
          <w:b w:val="0"/>
          <w:bCs w:val="0"/>
          <w:sz w:val="24"/>
        </w:rPr>
        <w:t>（四）土壤</w:t>
      </w:r>
    </w:p>
    <w:p>
      <w:pPr>
        <w:spacing w:line="480" w:lineRule="exact"/>
        <w:ind w:firstLine="480" w:firstLineChars="200"/>
        <w:rPr>
          <w:sz w:val="24"/>
        </w:rPr>
      </w:pPr>
      <w:r>
        <w:rPr>
          <w:sz w:val="24"/>
        </w:rPr>
        <w:t>矿区范围内的土壤以残坡积碎石土、粘土为主，主要为第四系黄色、浅黄色粘土，残坡积物等，土壤质地松散，抗冲能力低，在雨水浸泡与冲刷作用下容易引发滑移。矿山及周围地类主要为有林地和少量旱地等。林地分布在丘包顶与岗地和斜坡地带，旱地主要分布在矿山外围缓坡与沟谷洼地中。</w:t>
      </w:r>
    </w:p>
    <w:p>
      <w:pPr>
        <w:pStyle w:val="5"/>
        <w:spacing w:before="0" w:after="0" w:line="360" w:lineRule="auto"/>
        <w:jc w:val="left"/>
        <w:rPr>
          <w:b w:val="0"/>
          <w:bCs w:val="0"/>
          <w:sz w:val="24"/>
        </w:rPr>
      </w:pPr>
      <w:r>
        <w:rPr>
          <w:b w:val="0"/>
          <w:bCs w:val="0"/>
          <w:sz w:val="24"/>
        </w:rPr>
        <w:t>（五）水文地质</w:t>
      </w:r>
    </w:p>
    <w:p>
      <w:pPr>
        <w:adjustRightInd w:val="0"/>
        <w:snapToGrid w:val="0"/>
        <w:spacing w:line="360" w:lineRule="auto"/>
        <w:ind w:firstLine="480" w:firstLineChars="200"/>
        <w:rPr>
          <w:sz w:val="24"/>
        </w:rPr>
      </w:pPr>
      <w:r>
        <w:rPr>
          <w:sz w:val="24"/>
        </w:rPr>
        <w:t>1、含水性与隔水层</w:t>
      </w:r>
    </w:p>
    <w:p>
      <w:pPr>
        <w:adjustRightInd w:val="0"/>
        <w:snapToGrid w:val="0"/>
        <w:spacing w:line="360" w:lineRule="auto"/>
        <w:ind w:firstLine="480" w:firstLineChars="200"/>
        <w:rPr>
          <w:sz w:val="24"/>
        </w:rPr>
      </w:pPr>
      <w:r>
        <w:rPr>
          <w:sz w:val="24"/>
        </w:rPr>
        <w:t>矿区浅部节理裂隙发育，为含水层；深部节理裂隙不发育，富水性微弱，可视为相对隔水层。</w:t>
      </w:r>
    </w:p>
    <w:p>
      <w:pPr>
        <w:adjustRightInd w:val="0"/>
        <w:snapToGrid w:val="0"/>
        <w:spacing w:line="360" w:lineRule="auto"/>
        <w:ind w:firstLine="480" w:firstLineChars="200"/>
        <w:rPr>
          <w:sz w:val="24"/>
        </w:rPr>
      </w:pPr>
      <w:r>
        <w:rPr>
          <w:sz w:val="24"/>
        </w:rPr>
        <w:t>2、断裂构造水文地质特征</w:t>
      </w:r>
    </w:p>
    <w:p>
      <w:pPr>
        <w:adjustRightInd w:val="0"/>
        <w:snapToGrid w:val="0"/>
        <w:spacing w:line="360" w:lineRule="auto"/>
        <w:ind w:firstLine="480" w:firstLineChars="200"/>
        <w:rPr>
          <w:sz w:val="24"/>
        </w:rPr>
      </w:pPr>
      <w:r>
        <w:rPr>
          <w:sz w:val="24"/>
        </w:rPr>
        <w:t>本矿区为花岗岩侵入体，无断裂构造。</w:t>
      </w:r>
    </w:p>
    <w:p>
      <w:pPr>
        <w:adjustRightInd w:val="0"/>
        <w:snapToGrid w:val="0"/>
        <w:spacing w:line="360" w:lineRule="auto"/>
        <w:ind w:firstLine="480" w:firstLineChars="200"/>
        <w:rPr>
          <w:sz w:val="24"/>
        </w:rPr>
      </w:pPr>
      <w:r>
        <w:rPr>
          <w:sz w:val="24"/>
        </w:rPr>
        <w:t>3、地下水补给、径流、排泄特征</w:t>
      </w:r>
    </w:p>
    <w:p>
      <w:pPr>
        <w:adjustRightInd w:val="0"/>
        <w:snapToGrid w:val="0"/>
        <w:spacing w:line="360" w:lineRule="auto"/>
        <w:ind w:firstLine="480" w:firstLineChars="200"/>
        <w:rPr>
          <w:sz w:val="24"/>
        </w:rPr>
      </w:pPr>
      <w:r>
        <w:rPr>
          <w:sz w:val="24"/>
        </w:rPr>
        <w:t>地下水主要为大气降水补给，基岩裂隙含水带对于矿坑充水影响较小，该带透水性和富水性都较差，接受大气降水补给量有限，故对深部矿体开采影响不大。</w:t>
      </w:r>
    </w:p>
    <w:p>
      <w:pPr>
        <w:adjustRightInd w:val="0"/>
        <w:snapToGrid w:val="0"/>
        <w:spacing w:line="360" w:lineRule="auto"/>
        <w:ind w:firstLine="480" w:firstLineChars="200"/>
        <w:rPr>
          <w:sz w:val="24"/>
        </w:rPr>
      </w:pPr>
      <w:r>
        <w:rPr>
          <w:sz w:val="24"/>
        </w:rPr>
        <w:t>地表水对深部矿体开采影响程度微弱。矿区无开采老窿，无老窿水影响矿区开采。</w:t>
      </w:r>
    </w:p>
    <w:p>
      <w:pPr>
        <w:adjustRightInd w:val="0"/>
        <w:snapToGrid w:val="0"/>
        <w:spacing w:line="360" w:lineRule="auto"/>
        <w:ind w:firstLine="480" w:firstLineChars="200"/>
        <w:rPr>
          <w:sz w:val="24"/>
        </w:rPr>
      </w:pPr>
      <w:r>
        <w:rPr>
          <w:sz w:val="24"/>
        </w:rPr>
        <w:t>矿石不含有毒、有害元素。矿山开采后水文地质条件无明显变化。</w:t>
      </w:r>
    </w:p>
    <w:p>
      <w:pPr>
        <w:spacing w:line="360" w:lineRule="auto"/>
        <w:ind w:firstLine="480" w:firstLineChars="200"/>
        <w:rPr>
          <w:sz w:val="24"/>
          <w:szCs w:val="32"/>
        </w:rPr>
      </w:pPr>
      <w:r>
        <w:rPr>
          <w:sz w:val="24"/>
        </w:rPr>
        <w:t>地表浅部风化层孔隙水：矿区地表浅部风化孔隙水主要分布在加里东晚期第二次侵入体桃江岩（γδ</w:t>
      </w:r>
      <w:r>
        <w:rPr>
          <w:sz w:val="24"/>
          <w:vertAlign w:val="subscript"/>
        </w:rPr>
        <w:t>3</w:t>
      </w:r>
      <w:r>
        <w:rPr>
          <w:sz w:val="24"/>
        </w:rPr>
        <w:t>3</w:t>
      </w:r>
      <w:r>
        <w:rPr>
          <w:sz w:val="24"/>
          <w:vertAlign w:val="superscript"/>
        </w:rPr>
        <w:t>-2c</w:t>
      </w:r>
      <w:r>
        <w:rPr>
          <w:sz w:val="24"/>
        </w:rPr>
        <w:t>）c带地表中-强风化细中-中粒角闪石黑云母花岗闪长岩，风化层厚度在</w:t>
      </w:r>
      <w:r>
        <w:rPr>
          <w:rFonts w:hint="eastAsia"/>
          <w:sz w:val="24"/>
        </w:rPr>
        <w:t>**</w:t>
      </w:r>
      <w:r>
        <w:rPr>
          <w:sz w:val="24"/>
        </w:rPr>
        <w:t>m，平均厚度</w:t>
      </w:r>
      <w:r>
        <w:rPr>
          <w:rFonts w:hint="eastAsia"/>
          <w:sz w:val="24"/>
        </w:rPr>
        <w:t>**</w:t>
      </w:r>
      <w:r>
        <w:rPr>
          <w:sz w:val="24"/>
        </w:rPr>
        <w:t>m,其富水贫乏，泉流量在</w:t>
      </w:r>
      <w:r>
        <w:rPr>
          <w:rFonts w:hint="eastAsia"/>
          <w:sz w:val="24"/>
        </w:rPr>
        <w:t>********</w:t>
      </w:r>
      <w:r>
        <w:rPr>
          <w:sz w:val="24"/>
        </w:rPr>
        <w:t>，水质类型以HCO</w:t>
      </w:r>
      <w:r>
        <w:rPr>
          <w:sz w:val="24"/>
          <w:vertAlign w:val="subscript"/>
        </w:rPr>
        <w:t>2</w:t>
      </w:r>
      <w:r>
        <w:rPr>
          <w:sz w:val="24"/>
        </w:rPr>
        <w:t>Ca-Na为主，PH值</w:t>
      </w:r>
      <w:r>
        <w:rPr>
          <w:rFonts w:hint="eastAsia"/>
          <w:sz w:val="24"/>
        </w:rPr>
        <w:t>****</w:t>
      </w:r>
      <w:r>
        <w:rPr>
          <w:sz w:val="24"/>
        </w:rPr>
        <w:t>，矿化度</w:t>
      </w:r>
      <w:r>
        <w:rPr>
          <w:rFonts w:hint="eastAsia"/>
          <w:sz w:val="24"/>
        </w:rPr>
        <w:t>******</w:t>
      </w:r>
      <w:r>
        <w:rPr>
          <w:sz w:val="24"/>
        </w:rPr>
        <w:t>克/升，透水性弱，含微弱的孔隙水。大气降水是其主要的的补给来源，无明显的补、径排区，排泄方式主要为下降泉，其次为</w:t>
      </w:r>
      <w:r>
        <w:rPr>
          <w:sz w:val="24"/>
          <w:szCs w:val="32"/>
        </w:rPr>
        <w:t>浸水、散流。矿山最低开采标高高于当地侵蚀基准面。故地表浅部风化层孔隙水对矿山开采影响较小。</w:t>
      </w:r>
    </w:p>
    <w:p>
      <w:pPr>
        <w:spacing w:line="360" w:lineRule="auto"/>
        <w:ind w:firstLine="480" w:firstLineChars="200"/>
        <w:rPr>
          <w:sz w:val="24"/>
          <w:szCs w:val="32"/>
        </w:rPr>
      </w:pPr>
      <w:r>
        <w:rPr>
          <w:sz w:val="24"/>
          <w:szCs w:val="32"/>
        </w:rPr>
        <w:t>基岩裂隙水：本区基岩裂隙水主要分布在整个矿区风化层以下，由细中-中粒角闪石黑云母花岗闪长岩组成，为矿体的赋存层位。基岩含极少量的裂隙水，富水性贫。泉流量一般小于0.01升/秒；PH值6.0-7.3，矿化度0.056-0.248克/升，硬度2-3.5，水质类型为HCO2Ca-Na型水。矿区无大的断列发育，基岩裂隙发育程度较差，富水性弱，水量贫乏，透水性差。且矿坑能自流排水。因此基岩裂隙水对矿山开采影响较小。</w:t>
      </w:r>
    </w:p>
    <w:p>
      <w:pPr>
        <w:spacing w:line="360" w:lineRule="auto"/>
        <w:ind w:firstLine="480" w:firstLineChars="200"/>
        <w:rPr>
          <w:sz w:val="24"/>
          <w:szCs w:val="32"/>
        </w:rPr>
      </w:pPr>
      <w:r>
        <w:rPr>
          <w:sz w:val="24"/>
          <w:szCs w:val="32"/>
        </w:rPr>
        <w:t>所以矿区水文地质条件属于简单类型。</w:t>
      </w:r>
    </w:p>
    <w:p>
      <w:pPr>
        <w:pStyle w:val="5"/>
        <w:spacing w:before="0" w:after="0" w:line="360" w:lineRule="auto"/>
        <w:jc w:val="left"/>
        <w:rPr>
          <w:b w:val="0"/>
          <w:bCs w:val="0"/>
          <w:sz w:val="24"/>
        </w:rPr>
      </w:pPr>
      <w:r>
        <w:rPr>
          <w:b w:val="0"/>
          <w:bCs w:val="0"/>
          <w:sz w:val="24"/>
        </w:rPr>
        <w:t>（六）工程地质</w:t>
      </w:r>
      <w:bookmarkEnd w:id="39"/>
    </w:p>
    <w:p>
      <w:pPr>
        <w:spacing w:line="360" w:lineRule="auto"/>
        <w:ind w:firstLine="480" w:firstLineChars="200"/>
        <w:rPr>
          <w:sz w:val="24"/>
          <w:szCs w:val="32"/>
        </w:rPr>
      </w:pPr>
      <w:bookmarkStart w:id="40" w:name="_Hlk107070545"/>
      <w:r>
        <w:rPr>
          <w:sz w:val="24"/>
          <w:szCs w:val="32"/>
        </w:rPr>
        <w:t>矿区内地表均为残坡积层腐殖土所覆盖，覆盖层厚0.5～8.5m，平均</w:t>
      </w:r>
      <w:r>
        <w:rPr>
          <w:rFonts w:hint="eastAsia"/>
          <w:sz w:val="24"/>
          <w:szCs w:val="32"/>
        </w:rPr>
        <w:t>***</w:t>
      </w:r>
      <w:r>
        <w:rPr>
          <w:sz w:val="24"/>
          <w:szCs w:val="32"/>
        </w:rPr>
        <w:t>米，主要为残坡积红粘土及含碎石粘性土。矿山采用露天开采方式，开采时须剥离上覆粘土及含碎石粘土，并保存，作为复垦用，而红粘土的天然含水量、孔隙比、饱和度以及液限、塑限高，具较高的力学强度和较低的压缩性，具表面收缩，上硬下软，裂隙发育的特征。在剥离时，若防护不当，可能导致局部滑坡、崩塌，但矿区暂未发生上述工程地质问题。而该区开采的花岗岩，结构致密，呈厚～巨厚层状，力学强度较高，稳定性好，</w:t>
      </w:r>
      <w:r>
        <w:rPr>
          <w:rFonts w:hint="eastAsia"/>
          <w:sz w:val="24"/>
          <w:szCs w:val="32"/>
        </w:rPr>
        <w:t>据检测，其</w:t>
      </w:r>
      <w:r>
        <w:rPr>
          <w:rFonts w:hint="eastAsia" w:ascii="宋体" w:hAnsi="宋体"/>
          <w:sz w:val="24"/>
        </w:rPr>
        <w:t>单轴抗压强度平均值为96.1MPa，</w:t>
      </w:r>
      <w:r>
        <w:rPr>
          <w:sz w:val="24"/>
          <w:szCs w:val="32"/>
        </w:rPr>
        <w:t>但在局部节理裂隙发育地段，其力学强度有所降低。根据实地调查，局部露采边坡角在75°以上，仍较稳固。</w:t>
      </w:r>
    </w:p>
    <w:p>
      <w:pPr>
        <w:spacing w:line="360" w:lineRule="auto"/>
        <w:ind w:firstLine="480" w:firstLineChars="200"/>
        <w:rPr>
          <w:sz w:val="24"/>
        </w:rPr>
      </w:pPr>
      <w:r>
        <w:rPr>
          <w:sz w:val="24"/>
        </w:rPr>
        <w:t>1、矿体顶、底板稳固性</w:t>
      </w:r>
    </w:p>
    <w:p>
      <w:pPr>
        <w:spacing w:line="360" w:lineRule="auto"/>
        <w:ind w:firstLine="480" w:firstLineChars="200"/>
        <w:rPr>
          <w:sz w:val="24"/>
          <w:szCs w:val="32"/>
        </w:rPr>
      </w:pPr>
      <w:r>
        <w:rPr>
          <w:sz w:val="24"/>
          <w:szCs w:val="32"/>
        </w:rPr>
        <w:t>该矿采用露天开采，顶板为残坡积层腐殖土，厚0.5～8.5m，平均</w:t>
      </w:r>
      <w:r>
        <w:rPr>
          <w:rFonts w:hint="eastAsia"/>
          <w:sz w:val="24"/>
          <w:szCs w:val="32"/>
        </w:rPr>
        <w:t>***</w:t>
      </w:r>
      <w:r>
        <w:rPr>
          <w:sz w:val="24"/>
          <w:szCs w:val="32"/>
        </w:rPr>
        <w:t>米，主要为残坡积红粘土及含碎石粘性土，开采时须剥离上覆残坡积层腐殖土，并保存，作为复垦用，底板为花岗岩体，稳定性好。</w:t>
      </w:r>
    </w:p>
    <w:p>
      <w:pPr>
        <w:spacing w:line="360" w:lineRule="auto"/>
        <w:ind w:firstLine="480" w:firstLineChars="200"/>
        <w:rPr>
          <w:sz w:val="24"/>
          <w:szCs w:val="32"/>
        </w:rPr>
      </w:pPr>
      <w:r>
        <w:rPr>
          <w:sz w:val="24"/>
          <w:szCs w:val="32"/>
        </w:rPr>
        <w:t>2、应注意的主要工程地质问题</w:t>
      </w:r>
    </w:p>
    <w:p>
      <w:pPr>
        <w:spacing w:line="360" w:lineRule="auto"/>
        <w:ind w:firstLine="480" w:firstLineChars="200"/>
        <w:rPr>
          <w:sz w:val="24"/>
          <w:szCs w:val="32"/>
        </w:rPr>
      </w:pPr>
      <w:r>
        <w:rPr>
          <w:sz w:val="24"/>
          <w:szCs w:val="32"/>
        </w:rPr>
        <w:t>矿山在开采过程中，随着剥离范围、开采深度、开采范围的进一步增大，若防护不当，可能诱发或加剧因剥离废渣土形成的局部土质边坡崩塌、滑坡。未来矿区开采标高降低至</w:t>
      </w:r>
      <w:r>
        <w:rPr>
          <w:rFonts w:hint="eastAsia"/>
          <w:sz w:val="24"/>
          <w:szCs w:val="32"/>
        </w:rPr>
        <w:t>*****</w:t>
      </w:r>
      <w:r>
        <w:rPr>
          <w:sz w:val="24"/>
          <w:szCs w:val="32"/>
        </w:rPr>
        <w:t>m标高时，最终边坡高度为</w:t>
      </w:r>
      <w:r>
        <w:rPr>
          <w:rFonts w:hint="eastAsia"/>
          <w:sz w:val="24"/>
          <w:szCs w:val="32"/>
        </w:rPr>
        <w:t>**</w:t>
      </w:r>
      <w:r>
        <w:rPr>
          <w:sz w:val="24"/>
          <w:szCs w:val="32"/>
        </w:rPr>
        <w:t>m～</w:t>
      </w:r>
      <w:r>
        <w:rPr>
          <w:rFonts w:hint="eastAsia"/>
          <w:sz w:val="24"/>
          <w:szCs w:val="32"/>
        </w:rPr>
        <w:t>**</w:t>
      </w:r>
      <w:r>
        <w:rPr>
          <w:sz w:val="24"/>
          <w:szCs w:val="32"/>
        </w:rPr>
        <w:t>m，开采时，若未能控制好露采边坡角或节理裂隙发育面过度开采，因节理裂隙破坏了岩石的完整性，可能导致花岗岩局部边坡崩塌。综上所述：矿区工程地质条件属简单类型。</w:t>
      </w:r>
    </w:p>
    <w:p>
      <w:pPr>
        <w:pStyle w:val="5"/>
        <w:spacing w:before="0" w:after="0" w:line="360" w:lineRule="auto"/>
        <w:jc w:val="left"/>
        <w:rPr>
          <w:b w:val="0"/>
          <w:bCs w:val="0"/>
          <w:sz w:val="24"/>
        </w:rPr>
      </w:pPr>
      <w:r>
        <w:rPr>
          <w:b w:val="0"/>
          <w:bCs w:val="0"/>
          <w:sz w:val="24"/>
        </w:rPr>
        <w:t>（七）环境地质条件</w:t>
      </w:r>
    </w:p>
    <w:p>
      <w:pPr>
        <w:spacing w:line="360" w:lineRule="auto"/>
        <w:ind w:firstLine="480" w:firstLineChars="200"/>
        <w:rPr>
          <w:sz w:val="24"/>
          <w:szCs w:val="32"/>
        </w:rPr>
      </w:pPr>
      <w:r>
        <w:rPr>
          <w:sz w:val="24"/>
          <w:szCs w:val="32"/>
        </w:rPr>
        <w:t>矿山生产对环境的影响因素主要为矿山生产产生的废碴、废水对区内环境的影响。</w:t>
      </w:r>
    </w:p>
    <w:p>
      <w:pPr>
        <w:spacing w:line="360" w:lineRule="auto"/>
        <w:ind w:firstLine="480" w:firstLineChars="200"/>
        <w:rPr>
          <w:sz w:val="24"/>
          <w:szCs w:val="32"/>
        </w:rPr>
      </w:pPr>
      <w:r>
        <w:rPr>
          <w:sz w:val="24"/>
          <w:szCs w:val="32"/>
        </w:rPr>
        <w:t>废碴对环境的影响：矿山开采无废石产生，开采产生的少量剥离物，有序临时堆放于矿区中部，用作复垦土源，对区内环境影响小。</w:t>
      </w:r>
    </w:p>
    <w:p>
      <w:pPr>
        <w:spacing w:line="360" w:lineRule="auto"/>
        <w:ind w:firstLine="480" w:firstLineChars="200"/>
        <w:rPr>
          <w:sz w:val="24"/>
          <w:szCs w:val="32"/>
        </w:rPr>
      </w:pPr>
      <w:r>
        <w:rPr>
          <w:sz w:val="24"/>
          <w:szCs w:val="32"/>
        </w:rPr>
        <w:t>该矿无选矿工序，不存在选矿废水污染环境等问题。</w:t>
      </w:r>
    </w:p>
    <w:p>
      <w:pPr>
        <w:spacing w:line="360" w:lineRule="auto"/>
        <w:ind w:firstLine="480" w:firstLineChars="200"/>
        <w:rPr>
          <w:sz w:val="24"/>
          <w:szCs w:val="32"/>
        </w:rPr>
      </w:pPr>
      <w:r>
        <w:rPr>
          <w:sz w:val="24"/>
          <w:szCs w:val="32"/>
        </w:rPr>
        <w:t>矿山矿界与其他矿山矿界无重叠，无矿业权纠纷；矿区范围无人居住，周边人居分散，无历史文化遗迹、旅游公园等人文景观，无大中型水利工程和重要设施；人类工程活动主要是修筑公路及矿山开采，开采产生的少量剥离物对人居环境影响较轻，矿石不含有毒、有害元素，采矿对水资源、水环境影响较轻。</w:t>
      </w:r>
    </w:p>
    <w:p>
      <w:pPr>
        <w:spacing w:line="360" w:lineRule="auto"/>
        <w:ind w:firstLine="480" w:firstLineChars="200"/>
        <w:rPr>
          <w:sz w:val="24"/>
          <w:szCs w:val="32"/>
        </w:rPr>
      </w:pPr>
      <w:r>
        <w:rPr>
          <w:sz w:val="24"/>
          <w:szCs w:val="32"/>
        </w:rPr>
        <w:t>未来矿山形成采坑面积</w:t>
      </w:r>
      <w:r>
        <w:rPr>
          <w:rFonts w:hint="eastAsia"/>
          <w:sz w:val="24"/>
          <w:szCs w:val="32"/>
        </w:rPr>
        <w:t>******</w:t>
      </w:r>
      <w:r>
        <w:rPr>
          <w:sz w:val="24"/>
          <w:szCs w:val="32"/>
        </w:rPr>
        <w:t>km²，加之矿山修建公路等工程活动，一定程度的破坏了地表植被，导致基岩裸露，另外场地建设及采场占用一定数量的土地，但至今未构成地质灾害。随着矿山生产的持续进行，除采场面积扩大，新增占用土地外，因剥离产生废渣土将进一步占用土地，且大量废渣土压实度差、结构力差，若防护不当，在雨水冲刷下，可能形成砂渣流等地质灾害。针对因废渣土堆放占用土地的问题，矿山在剥离时，应尽量将废渣土用于填路基或集中填入废弃采石坑，减少废渣土堆放新占用土地，并及时运出外用或者修建道路。</w:t>
      </w:r>
    </w:p>
    <w:p>
      <w:pPr>
        <w:spacing w:line="360" w:lineRule="auto"/>
        <w:ind w:firstLine="480" w:firstLineChars="200"/>
        <w:rPr>
          <w:sz w:val="24"/>
          <w:szCs w:val="32"/>
        </w:rPr>
      </w:pPr>
      <w:r>
        <w:rPr>
          <w:sz w:val="24"/>
          <w:szCs w:val="32"/>
        </w:rPr>
        <w:t>综上所述，矿区环境地质条件属中等类型。</w:t>
      </w:r>
    </w:p>
    <w:bookmarkEnd w:id="40"/>
    <w:p>
      <w:pPr>
        <w:pStyle w:val="4"/>
        <w:spacing w:before="120" w:after="120" w:line="470" w:lineRule="exact"/>
        <w:jc w:val="left"/>
        <w:rPr>
          <w:rFonts w:ascii="Times New Roman" w:hAnsi="Times New Roman" w:eastAsia="宋体"/>
          <w:b w:val="0"/>
          <w:bCs w:val="0"/>
          <w:sz w:val="28"/>
        </w:rPr>
      </w:pPr>
      <w:bookmarkStart w:id="41" w:name="_Toc130937628"/>
      <w:r>
        <w:rPr>
          <w:rFonts w:ascii="Times New Roman" w:hAnsi="Times New Roman" w:eastAsia="宋体"/>
          <w:b w:val="0"/>
          <w:bCs w:val="0"/>
          <w:sz w:val="28"/>
        </w:rPr>
        <w:t>三、生物环境</w:t>
      </w:r>
      <w:bookmarkEnd w:id="41"/>
    </w:p>
    <w:p>
      <w:pPr>
        <w:spacing w:line="450" w:lineRule="exact"/>
        <w:ind w:firstLine="480" w:firstLineChars="200"/>
        <w:rPr>
          <w:sz w:val="24"/>
          <w:lang w:val="zh-CN"/>
        </w:rPr>
      </w:pPr>
      <w:r>
        <w:rPr>
          <w:sz w:val="24"/>
          <w:lang w:val="zh-CN"/>
        </w:rPr>
        <w:t>区内生态环境主要为林业生态区、外围为少量农田（农业生态区）。其中农业生态主要指农田作物覆盖区；林业生态主要指森林分布区，主要包括乔木林、灌木林、竹林等。</w:t>
      </w:r>
    </w:p>
    <w:p>
      <w:pPr>
        <w:pStyle w:val="5"/>
        <w:spacing w:before="0" w:after="0" w:line="360" w:lineRule="auto"/>
        <w:jc w:val="left"/>
        <w:rPr>
          <w:b w:val="0"/>
          <w:bCs w:val="0"/>
          <w:sz w:val="24"/>
          <w:szCs w:val="24"/>
        </w:rPr>
      </w:pPr>
      <w:r>
        <w:rPr>
          <w:b w:val="0"/>
          <w:bCs w:val="0"/>
          <w:sz w:val="24"/>
          <w:szCs w:val="24"/>
        </w:rPr>
        <w:t>（一）植被群落及种类</w:t>
      </w:r>
    </w:p>
    <w:p>
      <w:pPr>
        <w:spacing w:line="360" w:lineRule="auto"/>
        <w:ind w:firstLine="482"/>
        <w:rPr>
          <w:sz w:val="24"/>
          <w:lang w:val="zh-CN"/>
        </w:rPr>
      </w:pPr>
      <w:r>
        <w:rPr>
          <w:sz w:val="24"/>
          <w:lang w:val="zh-CN"/>
        </w:rPr>
        <w:t>矿区所在地处亚热带常绿阔叶林带，区域生态景观原貌主要为林地、水田、水域等，植被发育，原始覆盖率高达90%以上。当地气候适宜，植生土壤条件较好，从植物群落结构及特征看，当地森林群落水平及垂直结构比较简单，松乔为优势树种，以楠竹为主，杉树、松树及灌木常见。</w:t>
      </w:r>
    </w:p>
    <w:p>
      <w:pPr>
        <w:spacing w:line="360" w:lineRule="auto"/>
        <w:ind w:firstLine="480"/>
        <w:rPr>
          <w:sz w:val="24"/>
          <w:lang w:val="zh-CN"/>
        </w:rPr>
      </w:pPr>
      <w:r>
        <w:rPr>
          <w:sz w:val="24"/>
          <w:lang w:val="zh-CN"/>
        </w:rPr>
        <w:t>现状及未来开采区、矿山公路原始丘陵山坡上植被发育，林地地段自然植被覆盖较好，破坏的植被树种主要为马尾松、杉树、毛竹、油茶、</w:t>
      </w:r>
      <w:r>
        <w:rPr>
          <w:sz w:val="24"/>
        </w:rPr>
        <w:t>白栎</w:t>
      </w:r>
      <w:r>
        <w:rPr>
          <w:sz w:val="24"/>
          <w:lang w:val="zh-CN"/>
        </w:rPr>
        <w:t>等，林下灌木主要有青冈、白栎、野茉莉等。在山坡、岩石半裸露山地，或土壤瘠薄的岗地成片分布竹林，为灌木形式的小竹丛。</w:t>
      </w:r>
    </w:p>
    <w:p>
      <w:pPr>
        <w:spacing w:line="360" w:lineRule="auto"/>
        <w:ind w:firstLine="480"/>
        <w:rPr>
          <w:sz w:val="24"/>
        </w:rPr>
      </w:pPr>
      <w:r>
        <w:rPr>
          <w:sz w:val="24"/>
        </w:rPr>
        <w:t>通过现场实地调查和查询资料，</w:t>
      </w:r>
      <w:r>
        <w:rPr>
          <w:sz w:val="24"/>
          <w:lang w:val="zh-CN"/>
        </w:rPr>
        <w:t>本项目建设主要开采区为属一般林地，未占用公益林，不涉及天然林保护区，不在自然保护区和森林公园内，</w:t>
      </w:r>
      <w:r>
        <w:rPr>
          <w:sz w:val="24"/>
        </w:rPr>
        <w:t>矿区内未发现国家和地方重点保护野生植物。</w:t>
      </w:r>
    </w:p>
    <w:p>
      <w:pPr>
        <w:pStyle w:val="5"/>
        <w:spacing w:before="0" w:after="0" w:line="360" w:lineRule="auto"/>
        <w:jc w:val="left"/>
        <w:rPr>
          <w:b w:val="0"/>
          <w:bCs w:val="0"/>
          <w:sz w:val="24"/>
          <w:szCs w:val="24"/>
        </w:rPr>
      </w:pPr>
      <w:r>
        <w:rPr>
          <w:b w:val="0"/>
          <w:bCs w:val="0"/>
          <w:sz w:val="24"/>
          <w:szCs w:val="24"/>
        </w:rPr>
        <w:t>（二）野生动物情况</w:t>
      </w:r>
    </w:p>
    <w:p>
      <w:pPr>
        <w:spacing w:line="360" w:lineRule="auto"/>
        <w:ind w:firstLine="480"/>
        <w:rPr>
          <w:sz w:val="24"/>
        </w:rPr>
      </w:pPr>
      <w:r>
        <w:rPr>
          <w:sz w:val="24"/>
        </w:rPr>
        <w:t>资料显示，桃江县境内野生动物有19目41科107种，云豹、穿山甲、苍鹰等国家级保护动物19种。据调查，矿区内未见野生珍稀保护动物，主要有蛇、鼠、蛙、麻雀、野鸡等小型动物和蚊、蝇、蜻蜓等南方常见的昆虫，水沟中鱼虾蟹均少见。</w:t>
      </w:r>
    </w:p>
    <w:p>
      <w:pPr>
        <w:spacing w:line="360" w:lineRule="auto"/>
        <w:ind w:firstLine="480"/>
        <w:rPr>
          <w:sz w:val="24"/>
        </w:rPr>
      </w:pPr>
      <w:r>
        <w:rPr>
          <w:sz w:val="24"/>
        </w:rPr>
        <w:t>经查阅相关资料、现场踏勘，矿区近年来尚未发现野生珍稀保护动物。矿山范围界线不涉及主要河流和滩涂，不涉及鱼类三场（鱼类产卵场、索饵场、越冬场）。矿区及附近范围内无自然保护区。</w:t>
      </w:r>
    </w:p>
    <w:p>
      <w:pPr>
        <w:pStyle w:val="4"/>
        <w:spacing w:before="120" w:after="120" w:line="470" w:lineRule="exact"/>
        <w:jc w:val="left"/>
        <w:rPr>
          <w:rFonts w:ascii="Times New Roman" w:hAnsi="Times New Roman" w:eastAsia="宋体"/>
          <w:b w:val="0"/>
          <w:bCs w:val="0"/>
          <w:sz w:val="28"/>
        </w:rPr>
      </w:pPr>
      <w:bookmarkStart w:id="42" w:name="_Toc130937629"/>
      <w:r>
        <w:rPr>
          <w:rFonts w:ascii="Times New Roman" w:hAnsi="Times New Roman" w:eastAsia="宋体"/>
          <w:b w:val="0"/>
          <w:bCs w:val="0"/>
          <w:sz w:val="28"/>
        </w:rPr>
        <w:t>四、人居环境</w:t>
      </w:r>
      <w:bookmarkEnd w:id="42"/>
    </w:p>
    <w:p>
      <w:pPr>
        <w:spacing w:line="360" w:lineRule="auto"/>
        <w:ind w:firstLine="480"/>
        <w:rPr>
          <w:sz w:val="24"/>
        </w:rPr>
      </w:pPr>
      <w:r>
        <w:rPr>
          <w:sz w:val="24"/>
        </w:rPr>
        <w:t>据据现场调查，矿区范围内无民居分布，矿山周边民居分散，主要分布在矿区东南侧山脚，居民房屋以 2 层式砖混结构为主，多为独立单栋。当地居民以农业为主兼以林畜副业，青壮劳动力外出打工，经济水平中等。评估区内无风景名胜古迹、地质公园、自然保护区，无重要的省级以上公路通过，无重要建筑设施，无地下水水源地。评估区范围内占用土地均为林地。</w:t>
      </w:r>
    </w:p>
    <w:p>
      <w:pPr>
        <w:spacing w:line="360" w:lineRule="auto"/>
        <w:ind w:firstLine="480"/>
        <w:rPr>
          <w:sz w:val="24"/>
        </w:rPr>
      </w:pPr>
      <w:r>
        <w:rPr>
          <w:sz w:val="24"/>
        </w:rPr>
        <w:t>区内水源较充足，供水条件较好。工业用水及农业用水靠附近的水塘及引水渠。区内电力与浮邱山乡共网，有居民用电网接入，电力充足。区内有简易道路连接外围村道，通讯网络已覆盖全矿区。</w:t>
      </w:r>
    </w:p>
    <w:p>
      <w:pPr>
        <w:spacing w:line="360" w:lineRule="auto"/>
        <w:ind w:firstLine="480"/>
        <w:rPr>
          <w:sz w:val="24"/>
        </w:rPr>
      </w:pPr>
      <w:r>
        <w:rPr>
          <w:sz w:val="24"/>
        </w:rPr>
        <w:t>此外，矿山区内没有重要铁路交通干线，远离学校、医院、工厂、集镇等，无其它重要建筑或中等以上水利设施、通讯工程、在建工程等，无其它重要工业与民用建筑物。</w:t>
      </w:r>
    </w:p>
    <w:p>
      <w:pPr>
        <w:spacing w:line="360" w:lineRule="auto"/>
        <w:ind w:firstLine="480" w:firstLineChars="200"/>
        <w:rPr>
          <w:sz w:val="24"/>
        </w:rPr>
      </w:pPr>
      <w:bookmarkStart w:id="43" w:name="_Toc436833710"/>
      <w:bookmarkStart w:id="44" w:name="_Toc383852438"/>
      <w:bookmarkStart w:id="45" w:name="_Toc184643903"/>
      <w:bookmarkStart w:id="46" w:name="_Toc182924615"/>
    </w:p>
    <w:p>
      <w:pPr>
        <w:pStyle w:val="2"/>
      </w:pPr>
    </w:p>
    <w:p>
      <w:pPr>
        <w:spacing w:line="470" w:lineRule="exact"/>
        <w:ind w:firstLine="480" w:firstLineChars="200"/>
        <w:rPr>
          <w:rFonts w:eastAsia="仿宋_GB2312"/>
          <w:sz w:val="24"/>
        </w:rPr>
        <w:sectPr>
          <w:footerReference r:id="rId9" w:type="default"/>
          <w:pgSz w:w="11906" w:h="16838"/>
          <w:pgMar w:top="1440" w:right="1570" w:bottom="1440" w:left="1797" w:header="851" w:footer="992" w:gutter="0"/>
          <w:cols w:space="720" w:num="1"/>
          <w:docGrid w:type="lines" w:linePitch="312" w:charSpace="0"/>
        </w:sectPr>
      </w:pPr>
    </w:p>
    <w:bookmarkEnd w:id="43"/>
    <w:bookmarkEnd w:id="44"/>
    <w:p>
      <w:pPr>
        <w:pStyle w:val="3"/>
        <w:numPr>
          <w:ilvl w:val="0"/>
          <w:numId w:val="2"/>
        </w:numPr>
        <w:spacing w:beforeLines="100" w:afterLines="100" w:line="440" w:lineRule="exact"/>
        <w:jc w:val="center"/>
        <w:rPr>
          <w:b w:val="0"/>
          <w:bCs w:val="0"/>
          <w:sz w:val="32"/>
          <w:szCs w:val="32"/>
        </w:rPr>
      </w:pPr>
      <w:bookmarkStart w:id="47" w:name="_Toc130937630"/>
      <w:r>
        <w:rPr>
          <w:b w:val="0"/>
          <w:bCs w:val="0"/>
          <w:sz w:val="32"/>
          <w:szCs w:val="32"/>
        </w:rPr>
        <w:t>矿山生态环境问题</w:t>
      </w:r>
      <w:bookmarkEnd w:id="47"/>
    </w:p>
    <w:p>
      <w:pPr>
        <w:spacing w:line="360" w:lineRule="auto"/>
        <w:ind w:firstLine="480" w:firstLineChars="200"/>
        <w:rPr>
          <w:sz w:val="24"/>
        </w:rPr>
      </w:pPr>
      <w:r>
        <w:rPr>
          <w:sz w:val="24"/>
          <w:lang w:val="zh-CN"/>
        </w:rPr>
        <w:t>湖南省桃江县浮邱山矿区沙田湾花岗岩矿</w:t>
      </w:r>
      <w:r>
        <w:rPr>
          <w:sz w:val="24"/>
        </w:rPr>
        <w:t>为在产的小型规模露天矿山，且已开采多年。目前矿山区已形成了露天开采区、矿部管理区、工业广场等功能分区，基本配套已经成熟。经过多年开采，矿山生态环境遭到了一定程度的破坏，现有存在的生态环境问题主要为露天开采区、矿部管理区、工业广场及矿山公路对地形地貌景观、土地资源和植被资源的占损破坏，除此之外暂时无其它生态环境问题。未来矿山开采将不可避免地对生态环境产生破坏。现在预测主要生态环境问题是：矿山开采对矿区土地资源和植被资源的破坏占损、地形地貌景观破坏及可能引发的地质灾害隐患。</w:t>
      </w:r>
    </w:p>
    <w:p>
      <w:pPr>
        <w:pStyle w:val="4"/>
        <w:numPr>
          <w:ilvl w:val="0"/>
          <w:numId w:val="3"/>
        </w:numPr>
        <w:spacing w:before="120" w:after="120" w:line="470" w:lineRule="exact"/>
        <w:jc w:val="left"/>
        <w:rPr>
          <w:rFonts w:ascii="Times New Roman" w:hAnsi="Times New Roman" w:eastAsia="宋体"/>
          <w:b w:val="0"/>
          <w:bCs w:val="0"/>
          <w:sz w:val="28"/>
        </w:rPr>
      </w:pPr>
      <w:bookmarkStart w:id="48" w:name="_Toc130937631"/>
      <w:r>
        <w:rPr>
          <w:rFonts w:ascii="Times New Roman" w:hAnsi="Times New Roman" w:eastAsia="宋体"/>
          <w:b w:val="0"/>
          <w:bCs w:val="0"/>
          <w:sz w:val="28"/>
        </w:rPr>
        <w:t>地形地貌景观破坏</w:t>
      </w:r>
      <w:bookmarkEnd w:id="48"/>
    </w:p>
    <w:p>
      <w:pPr>
        <w:spacing w:line="360" w:lineRule="auto"/>
        <w:ind w:firstLine="480" w:firstLineChars="200"/>
        <w:rPr>
          <w:sz w:val="24"/>
        </w:rPr>
      </w:pPr>
      <w:r>
        <w:rPr>
          <w:sz w:val="24"/>
        </w:rPr>
        <w:t>根据《桃江县普通建筑材料用砂石土矿专项规划（2019-2025年）》，本矿界不在“三线”（生态红线、基本农田控制线、城镇边界控制线）范围内，与省生态环境厅自然保护区、自然资源部下发自然保护区、风景区信息、国家级自然保护区、禁止开发区边界、自然保护地均无重叠现象。可能对地形地貌景观造成破坏的主要有露天采场、矿山地面建设（采矿工业广场、办公区、生活区等）等。主要可能影响的对象主要为居民集中居住区等，以下分别进行分析。</w:t>
      </w:r>
    </w:p>
    <w:p>
      <w:pPr>
        <w:pStyle w:val="5"/>
        <w:spacing w:before="0" w:after="0" w:line="360" w:lineRule="auto"/>
        <w:jc w:val="left"/>
        <w:rPr>
          <w:b w:val="0"/>
          <w:bCs w:val="0"/>
          <w:sz w:val="24"/>
          <w:szCs w:val="24"/>
        </w:rPr>
      </w:pPr>
      <w:r>
        <w:rPr>
          <w:b w:val="0"/>
          <w:bCs w:val="0"/>
          <w:sz w:val="24"/>
          <w:szCs w:val="24"/>
        </w:rPr>
        <w:t>（一）现状地形地貌景观破坏识别和诊断</w:t>
      </w:r>
    </w:p>
    <w:p>
      <w:pPr>
        <w:spacing w:line="360" w:lineRule="auto"/>
        <w:ind w:firstLine="480" w:firstLineChars="200"/>
        <w:rPr>
          <w:sz w:val="24"/>
        </w:rPr>
      </w:pPr>
      <w:r>
        <w:rPr>
          <w:sz w:val="24"/>
        </w:rPr>
        <w:t>依前述，居民在矿区周边均匀分布；矿区1km以内无铁路、600m范围内无高速公路、国道、省道、县道经过。从矿区的地形地貌分析，矿山露天采场及主要开采设施及地面建筑位于三面山体环绕的山沟及山坡地段，所处区域受山包丘陵的阻隔，矿山建筑（采矿加工区、办公区等）、露天采场等均不在县级以上交通线路及居民集中区的可视范围内。</w:t>
      </w:r>
    </w:p>
    <w:p>
      <w:pPr>
        <w:spacing w:line="360" w:lineRule="auto"/>
        <w:ind w:firstLine="480"/>
        <w:rPr>
          <w:sz w:val="24"/>
        </w:rPr>
      </w:pPr>
      <w:r>
        <w:rPr>
          <w:sz w:val="24"/>
        </w:rPr>
        <w:t>1、露天采场对地形地貌景观影响破坏</w:t>
      </w:r>
    </w:p>
    <w:p>
      <w:pPr>
        <w:spacing w:line="360" w:lineRule="auto"/>
        <w:ind w:firstLine="480" w:firstLineChars="200"/>
        <w:rPr>
          <w:sz w:val="24"/>
        </w:rPr>
      </w:pPr>
      <w:r>
        <w:rPr>
          <w:sz w:val="24"/>
        </w:rPr>
        <w:t>矿山已开采多年，已形成1个露天采场，采场面积</w:t>
      </w:r>
      <w:r>
        <w:rPr>
          <w:rFonts w:hint="eastAsia"/>
          <w:sz w:val="24"/>
        </w:rPr>
        <w:t>*******</w:t>
      </w:r>
      <w:r>
        <w:rPr>
          <w:sz w:val="24"/>
        </w:rPr>
        <w:t>公顷，露采场对山体进行挖损，原有的植被也被全部砍伐，造成山体破损、岩石裸露、植被破坏等现象，此外对李家小组居民视觉景观产生一定的污染，故矿业活动对地形地貌景观存在一定破坏。</w:t>
      </w:r>
    </w:p>
    <w:p>
      <w:pPr>
        <w:spacing w:line="360" w:lineRule="auto"/>
        <w:ind w:firstLine="480" w:firstLineChars="200"/>
        <w:rPr>
          <w:sz w:val="24"/>
        </w:rPr>
      </w:pPr>
      <w:r>
        <w:rPr>
          <w:sz w:val="24"/>
        </w:rPr>
        <w:t>2、矿山工业广场及地面建筑对地形地貌影响破坏</w:t>
      </w:r>
    </w:p>
    <w:p>
      <w:pPr>
        <w:spacing w:line="360" w:lineRule="auto"/>
        <w:ind w:firstLine="480" w:firstLineChars="200"/>
        <w:rPr>
          <w:kern w:val="0"/>
          <w:sz w:val="24"/>
        </w:rPr>
      </w:pPr>
      <w:r>
        <w:rPr>
          <w:sz w:val="24"/>
        </w:rPr>
        <w:t>矿山矿部及工业广场生产区集中分布在露采场东侧，距离居民区较远。据实地调查，矿山生产区及地面建设范围内使矿区原有的地形地貌景观被取代，对原有地形地貌景观进行分隔，对原有的地形地貌景观产生了一定影响，但矿部面积小，而工业广场位于沟谷内部，有山体阻隔，且矿山建筑大部分为钢结构房屋，场地区域大部分有植被覆盖，因此矿部生活区、工业广场及地面建筑区域对地形地貌景观破坏影响不大。</w:t>
      </w:r>
    </w:p>
    <w:p>
      <w:pPr>
        <w:spacing w:line="360" w:lineRule="auto"/>
        <w:ind w:firstLine="480" w:firstLineChars="200"/>
        <w:rPr>
          <w:kern w:val="0"/>
          <w:sz w:val="24"/>
        </w:rPr>
      </w:pPr>
      <w:r>
        <w:rPr>
          <w:kern w:val="0"/>
          <w:sz w:val="24"/>
        </w:rPr>
        <w:t>3、矿山公路建设对地形地貌景观破坏</w:t>
      </w:r>
    </w:p>
    <w:p>
      <w:pPr>
        <w:spacing w:line="360" w:lineRule="auto"/>
        <w:ind w:firstLine="480" w:firstLineChars="200"/>
        <w:rPr>
          <w:kern w:val="0"/>
          <w:sz w:val="24"/>
        </w:rPr>
      </w:pPr>
      <w:r>
        <w:rPr>
          <w:kern w:val="0"/>
          <w:sz w:val="24"/>
        </w:rPr>
        <w:t>矿山公路主要用于进矿及连接各生产工业场地、生活区等，矿山公路呈线性展布，建设中对地形地貌存在一定程度削坡，削坡高度一般小于5m，对原生的地形地貌景观破坏小。</w:t>
      </w:r>
    </w:p>
    <w:p>
      <w:pPr>
        <w:pStyle w:val="5"/>
        <w:spacing w:before="0" w:after="0" w:line="360" w:lineRule="auto"/>
        <w:jc w:val="left"/>
        <w:rPr>
          <w:b w:val="0"/>
          <w:bCs w:val="0"/>
          <w:sz w:val="24"/>
          <w:szCs w:val="24"/>
        </w:rPr>
      </w:pPr>
      <w:r>
        <w:rPr>
          <w:b w:val="0"/>
          <w:bCs w:val="0"/>
          <w:sz w:val="24"/>
          <w:szCs w:val="24"/>
        </w:rPr>
        <w:t>（二）未来矿山地形地貌景观破坏预测分析</w:t>
      </w:r>
    </w:p>
    <w:p>
      <w:pPr>
        <w:spacing w:line="360" w:lineRule="auto"/>
        <w:ind w:firstLine="480" w:firstLineChars="200"/>
        <w:rPr>
          <w:sz w:val="24"/>
        </w:rPr>
      </w:pPr>
      <w:r>
        <w:rPr>
          <w:sz w:val="24"/>
        </w:rPr>
        <w:t>1、露采场对地形地貌景观破坏趋势</w:t>
      </w:r>
    </w:p>
    <w:p>
      <w:pPr>
        <w:spacing w:line="360" w:lineRule="auto"/>
        <w:ind w:firstLine="480" w:firstLineChars="200"/>
        <w:rPr>
          <w:sz w:val="24"/>
        </w:rPr>
      </w:pPr>
      <w:r>
        <w:rPr>
          <w:sz w:val="24"/>
        </w:rPr>
        <w:t>据《开发利用方案》及开采进度计划，未来矿山将继续采取露天开采方式，露天采场面积将随着开采水平的降低不断扩大，露采场开采水平至最低标高+</w:t>
      </w:r>
      <w:r>
        <w:rPr>
          <w:rFonts w:hint="eastAsia"/>
          <w:sz w:val="24"/>
        </w:rPr>
        <w:t>**</w:t>
      </w:r>
      <w:r>
        <w:rPr>
          <w:sz w:val="24"/>
        </w:rPr>
        <w:t>m时，其占损面积最大达</w:t>
      </w:r>
      <w:r>
        <w:rPr>
          <w:rFonts w:hint="eastAsia"/>
          <w:sz w:val="24"/>
        </w:rPr>
        <w:t>********</w:t>
      </w:r>
      <w:r>
        <w:rPr>
          <w:sz w:val="24"/>
        </w:rPr>
        <w:t>公顷。露采场将大面积挖损地表植被、土壤及岩石，将大面积造成地面波澜起伏，致使岩石、山体裸露，对破坏原地表形态、地层层序、植被等将造成更大程度的破坏，破坏了当地自然景观，并将造成更大的视觉污染。因此，未来桃江县金桥石业有限公司露采场对地形地貌景观破坏的趋势为增大。</w:t>
      </w:r>
    </w:p>
    <w:p>
      <w:pPr>
        <w:spacing w:line="360" w:lineRule="auto"/>
        <w:ind w:firstLine="480" w:firstLineChars="200"/>
        <w:rPr>
          <w:sz w:val="24"/>
        </w:rPr>
      </w:pPr>
      <w:r>
        <w:rPr>
          <w:sz w:val="24"/>
        </w:rPr>
        <w:t>2、</w:t>
      </w:r>
      <w:r>
        <w:rPr>
          <w:kern w:val="0"/>
          <w:sz w:val="24"/>
        </w:rPr>
        <w:t>矿部等地面建筑和矿山公路对地形地貌景观破坏</w:t>
      </w:r>
      <w:r>
        <w:rPr>
          <w:sz w:val="24"/>
        </w:rPr>
        <w:t>预测分析</w:t>
      </w:r>
    </w:p>
    <w:p>
      <w:pPr>
        <w:spacing w:line="360" w:lineRule="auto"/>
        <w:ind w:firstLine="480" w:firstLineChars="200"/>
        <w:rPr>
          <w:kern w:val="0"/>
          <w:sz w:val="24"/>
        </w:rPr>
      </w:pPr>
      <w:r>
        <w:rPr>
          <w:kern w:val="0"/>
          <w:sz w:val="24"/>
        </w:rPr>
        <w:t>据《开发利用方案》开采计划，矿山将继续采取露天开采方式。现状矿山开采多年，工业广场、矿部、矿山公路等生产生活区已配套成熟，其场地和范围已基本确定，在矿权范围不进行调整和扩大的情况下，后期工业建筑及矿山公路基本不会增加，地面设施的改造范围较小，可以在现有用地范围内解决，无需新增用地；故未来矿部办公生活区及工业广场等地面设施和矿山公路对地形地貌景观的破坏基本维持现状。</w:t>
      </w:r>
    </w:p>
    <w:p>
      <w:pPr>
        <w:spacing w:line="360" w:lineRule="auto"/>
        <w:ind w:firstLine="480" w:firstLineChars="200"/>
        <w:rPr>
          <w:sz w:val="24"/>
        </w:rPr>
      </w:pPr>
      <w:r>
        <w:rPr>
          <w:sz w:val="24"/>
        </w:rPr>
        <w:t>3、矿山公路建设对地形地貌景观破坏</w:t>
      </w:r>
    </w:p>
    <w:p>
      <w:pPr>
        <w:spacing w:line="360" w:lineRule="auto"/>
        <w:ind w:firstLine="480" w:firstLineChars="200"/>
        <w:rPr>
          <w:kern w:val="0"/>
          <w:sz w:val="24"/>
        </w:rPr>
      </w:pPr>
      <w:r>
        <w:rPr>
          <w:sz w:val="24"/>
        </w:rPr>
        <w:t>矿山后续将开拓部分上山道路，</w:t>
      </w:r>
      <w:r>
        <w:rPr>
          <w:kern w:val="0"/>
          <w:sz w:val="24"/>
        </w:rPr>
        <w:t>建设中对地形地貌存在一定程度削坡，削坡高度一般小于5m，对原生的地形地貌景观破坏小。</w:t>
      </w:r>
    </w:p>
    <w:p>
      <w:pPr>
        <w:pStyle w:val="5"/>
        <w:spacing w:before="0" w:after="0" w:line="360" w:lineRule="auto"/>
        <w:jc w:val="left"/>
        <w:rPr>
          <w:b w:val="0"/>
          <w:bCs w:val="0"/>
          <w:kern w:val="0"/>
          <w:sz w:val="24"/>
          <w:szCs w:val="24"/>
        </w:rPr>
      </w:pPr>
      <w:r>
        <w:rPr>
          <w:b w:val="0"/>
          <w:bCs w:val="0"/>
          <w:kern w:val="0"/>
          <w:sz w:val="24"/>
          <w:szCs w:val="24"/>
        </w:rPr>
        <w:t>（三）地形地貌景观破坏小结</w:t>
      </w:r>
    </w:p>
    <w:p>
      <w:pPr>
        <w:spacing w:line="360" w:lineRule="auto"/>
        <w:ind w:firstLine="480" w:firstLineChars="200"/>
        <w:rPr>
          <w:kern w:val="0"/>
          <w:sz w:val="24"/>
        </w:rPr>
      </w:pPr>
      <w:r>
        <w:rPr>
          <w:kern w:val="0"/>
          <w:sz w:val="24"/>
        </w:rPr>
        <w:t>现状办公生活区及工业广场等地面建筑和废石堆对地形地貌景观造成了破坏，但矿区不在“三线”、“三区”、县级以上城市规划区及等重要居民集中区周边，无重要交通干线，可视范围内对周围地形地貌景观破坏小；按照预测，未来矿山露采场持续开采对地形地貌景观破坏不断增大外，其余与现状类似，矿山开采对地形地貌景观影响变化不大，主要仍为露天采场和工业广场对地形地貌景观破坏</w:t>
      </w:r>
      <w:r>
        <w:rPr>
          <w:rFonts w:hint="eastAsia"/>
          <w:kern w:val="0"/>
          <w:sz w:val="24"/>
        </w:rPr>
        <w:t>（表3-1）</w:t>
      </w:r>
      <w:r>
        <w:rPr>
          <w:kern w:val="0"/>
          <w:sz w:val="24"/>
        </w:rPr>
        <w:t>。</w:t>
      </w:r>
    </w:p>
    <w:p>
      <w:pPr>
        <w:spacing w:line="360" w:lineRule="auto"/>
        <w:ind w:firstLine="480" w:firstLineChars="200"/>
        <w:jc w:val="center"/>
        <w:rPr>
          <w:kern w:val="0"/>
          <w:sz w:val="24"/>
        </w:rPr>
      </w:pPr>
      <w:r>
        <w:rPr>
          <w:kern w:val="0"/>
          <w:sz w:val="24"/>
        </w:rPr>
        <w:t>表3-1      地形地貌景观破坏识别和诊断结果表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268"/>
        <w:gridCol w:w="1713"/>
        <w:gridCol w:w="1751"/>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kern w:val="0"/>
                <w:sz w:val="20"/>
                <w:szCs w:val="21"/>
              </w:rPr>
            </w:pPr>
            <w:r>
              <w:rPr>
                <w:kern w:val="0"/>
                <w:sz w:val="20"/>
                <w:szCs w:val="21"/>
              </w:rPr>
              <w:t>存在状态</w:t>
            </w:r>
          </w:p>
        </w:tc>
        <w:tc>
          <w:tcPr>
            <w:tcW w:w="2268" w:type="dxa"/>
            <w:vMerge w:val="restart"/>
            <w:vAlign w:val="center"/>
          </w:tcPr>
          <w:p>
            <w:pPr>
              <w:jc w:val="center"/>
              <w:rPr>
                <w:kern w:val="0"/>
                <w:sz w:val="20"/>
                <w:szCs w:val="21"/>
              </w:rPr>
            </w:pPr>
            <w:r>
              <w:rPr>
                <w:kern w:val="0"/>
                <w:sz w:val="20"/>
                <w:szCs w:val="21"/>
              </w:rPr>
              <w:t>破坏方式</w:t>
            </w:r>
          </w:p>
        </w:tc>
        <w:tc>
          <w:tcPr>
            <w:tcW w:w="1713" w:type="dxa"/>
            <w:vMerge w:val="restart"/>
            <w:vAlign w:val="center"/>
          </w:tcPr>
          <w:p>
            <w:pPr>
              <w:jc w:val="center"/>
              <w:rPr>
                <w:kern w:val="0"/>
                <w:sz w:val="20"/>
                <w:szCs w:val="21"/>
              </w:rPr>
            </w:pPr>
            <w:r>
              <w:rPr>
                <w:kern w:val="0"/>
                <w:sz w:val="20"/>
                <w:szCs w:val="21"/>
              </w:rPr>
              <w:t>地貌类型</w:t>
            </w:r>
          </w:p>
        </w:tc>
        <w:tc>
          <w:tcPr>
            <w:tcW w:w="3502" w:type="dxa"/>
            <w:gridSpan w:val="2"/>
            <w:vAlign w:val="center"/>
          </w:tcPr>
          <w:p>
            <w:pPr>
              <w:jc w:val="center"/>
              <w:rPr>
                <w:kern w:val="0"/>
                <w:sz w:val="20"/>
                <w:szCs w:val="21"/>
              </w:rPr>
            </w:pPr>
            <w:r>
              <w:rPr>
                <w:kern w:val="0"/>
                <w:sz w:val="20"/>
                <w:szCs w:val="21"/>
              </w:rPr>
              <w:t>是否对地形地貌景观造成破坏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kern w:val="0"/>
                <w:sz w:val="20"/>
                <w:szCs w:val="21"/>
              </w:rPr>
            </w:pPr>
          </w:p>
        </w:tc>
        <w:tc>
          <w:tcPr>
            <w:tcW w:w="2268" w:type="dxa"/>
            <w:vMerge w:val="continue"/>
            <w:vAlign w:val="center"/>
          </w:tcPr>
          <w:p>
            <w:pPr>
              <w:jc w:val="center"/>
              <w:rPr>
                <w:kern w:val="0"/>
                <w:sz w:val="20"/>
                <w:szCs w:val="21"/>
              </w:rPr>
            </w:pPr>
          </w:p>
        </w:tc>
        <w:tc>
          <w:tcPr>
            <w:tcW w:w="1713" w:type="dxa"/>
            <w:vMerge w:val="continue"/>
            <w:vAlign w:val="center"/>
          </w:tcPr>
          <w:p>
            <w:pPr>
              <w:jc w:val="center"/>
              <w:rPr>
                <w:kern w:val="0"/>
                <w:sz w:val="20"/>
                <w:szCs w:val="21"/>
              </w:rPr>
            </w:pPr>
          </w:p>
        </w:tc>
        <w:tc>
          <w:tcPr>
            <w:tcW w:w="1751" w:type="dxa"/>
            <w:vAlign w:val="center"/>
          </w:tcPr>
          <w:p>
            <w:pPr>
              <w:jc w:val="center"/>
              <w:rPr>
                <w:kern w:val="0"/>
                <w:sz w:val="20"/>
                <w:szCs w:val="21"/>
              </w:rPr>
            </w:pPr>
            <w:r>
              <w:rPr>
                <w:kern w:val="0"/>
                <w:sz w:val="20"/>
                <w:szCs w:val="21"/>
              </w:rPr>
              <w:t>现状</w:t>
            </w:r>
          </w:p>
        </w:tc>
        <w:tc>
          <w:tcPr>
            <w:tcW w:w="1751" w:type="dxa"/>
            <w:vAlign w:val="center"/>
          </w:tcPr>
          <w:p>
            <w:pPr>
              <w:jc w:val="center"/>
              <w:rPr>
                <w:kern w:val="0"/>
                <w:sz w:val="20"/>
                <w:szCs w:val="21"/>
              </w:rPr>
            </w:pPr>
            <w:r>
              <w:rPr>
                <w:kern w:val="0"/>
                <w:sz w:val="20"/>
                <w:szCs w:val="21"/>
              </w:rPr>
              <w:t>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kern w:val="0"/>
                <w:sz w:val="20"/>
                <w:szCs w:val="21"/>
              </w:rPr>
            </w:pPr>
            <w:r>
              <w:rPr>
                <w:kern w:val="0"/>
                <w:sz w:val="20"/>
                <w:szCs w:val="21"/>
              </w:rPr>
              <w:t>已有</w:t>
            </w:r>
          </w:p>
        </w:tc>
        <w:tc>
          <w:tcPr>
            <w:tcW w:w="2268" w:type="dxa"/>
            <w:vAlign w:val="center"/>
          </w:tcPr>
          <w:p>
            <w:pPr>
              <w:jc w:val="center"/>
              <w:rPr>
                <w:kern w:val="0"/>
                <w:sz w:val="20"/>
                <w:szCs w:val="21"/>
              </w:rPr>
            </w:pPr>
            <w:r>
              <w:rPr>
                <w:kern w:val="0"/>
                <w:sz w:val="20"/>
                <w:szCs w:val="21"/>
              </w:rPr>
              <w:t>露天采场</w:t>
            </w:r>
          </w:p>
        </w:tc>
        <w:tc>
          <w:tcPr>
            <w:tcW w:w="1713" w:type="dxa"/>
            <w:vAlign w:val="center"/>
          </w:tcPr>
          <w:p>
            <w:pPr>
              <w:jc w:val="center"/>
              <w:rPr>
                <w:kern w:val="0"/>
                <w:sz w:val="20"/>
                <w:szCs w:val="21"/>
              </w:rPr>
            </w:pPr>
            <w:r>
              <w:rPr>
                <w:kern w:val="0"/>
                <w:sz w:val="20"/>
                <w:szCs w:val="21"/>
              </w:rPr>
              <w:t>丘陵、沟谷</w:t>
            </w:r>
          </w:p>
        </w:tc>
        <w:tc>
          <w:tcPr>
            <w:tcW w:w="1751" w:type="dxa"/>
            <w:vAlign w:val="center"/>
          </w:tcPr>
          <w:p>
            <w:pPr>
              <w:jc w:val="center"/>
              <w:rPr>
                <w:kern w:val="0"/>
                <w:sz w:val="20"/>
                <w:szCs w:val="21"/>
              </w:rPr>
            </w:pPr>
            <w:r>
              <w:rPr>
                <w:kern w:val="0"/>
                <w:sz w:val="20"/>
                <w:szCs w:val="21"/>
              </w:rPr>
              <w:t>是</w:t>
            </w:r>
          </w:p>
        </w:tc>
        <w:tc>
          <w:tcPr>
            <w:tcW w:w="1751" w:type="dxa"/>
            <w:vAlign w:val="center"/>
          </w:tcPr>
          <w:p>
            <w:pPr>
              <w:jc w:val="center"/>
              <w:rPr>
                <w:kern w:val="0"/>
                <w:sz w:val="20"/>
                <w:szCs w:val="21"/>
              </w:rPr>
            </w:pPr>
            <w:r>
              <w:rPr>
                <w:kern w:val="0"/>
                <w:sz w:val="20"/>
                <w:szCs w:val="21"/>
              </w:rPr>
              <w:t>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kern w:val="0"/>
                <w:sz w:val="20"/>
                <w:szCs w:val="21"/>
              </w:rPr>
            </w:pPr>
          </w:p>
        </w:tc>
        <w:tc>
          <w:tcPr>
            <w:tcW w:w="2268" w:type="dxa"/>
            <w:vAlign w:val="center"/>
          </w:tcPr>
          <w:p>
            <w:pPr>
              <w:jc w:val="center"/>
              <w:rPr>
                <w:kern w:val="0"/>
                <w:sz w:val="20"/>
                <w:szCs w:val="21"/>
              </w:rPr>
            </w:pPr>
            <w:r>
              <w:rPr>
                <w:kern w:val="0"/>
                <w:sz w:val="20"/>
                <w:szCs w:val="21"/>
              </w:rPr>
              <w:t>矿山地面建筑</w:t>
            </w:r>
          </w:p>
        </w:tc>
        <w:tc>
          <w:tcPr>
            <w:tcW w:w="1713" w:type="dxa"/>
            <w:vAlign w:val="center"/>
          </w:tcPr>
          <w:p>
            <w:pPr>
              <w:jc w:val="center"/>
              <w:rPr>
                <w:kern w:val="0"/>
                <w:sz w:val="20"/>
                <w:szCs w:val="21"/>
              </w:rPr>
            </w:pPr>
            <w:r>
              <w:rPr>
                <w:kern w:val="0"/>
                <w:sz w:val="20"/>
                <w:szCs w:val="21"/>
              </w:rPr>
              <w:t>丘陵、冲沟</w:t>
            </w:r>
          </w:p>
        </w:tc>
        <w:tc>
          <w:tcPr>
            <w:tcW w:w="1751" w:type="dxa"/>
            <w:vAlign w:val="center"/>
          </w:tcPr>
          <w:p>
            <w:pPr>
              <w:jc w:val="center"/>
              <w:rPr>
                <w:kern w:val="0"/>
                <w:sz w:val="20"/>
                <w:szCs w:val="21"/>
              </w:rPr>
            </w:pPr>
            <w:r>
              <w:rPr>
                <w:kern w:val="0"/>
                <w:sz w:val="20"/>
                <w:szCs w:val="21"/>
              </w:rPr>
              <w:t>否</w:t>
            </w:r>
          </w:p>
        </w:tc>
        <w:tc>
          <w:tcPr>
            <w:tcW w:w="1751" w:type="dxa"/>
            <w:vAlign w:val="center"/>
          </w:tcPr>
          <w:p>
            <w:pPr>
              <w:jc w:val="center"/>
              <w:rPr>
                <w:kern w:val="0"/>
                <w:sz w:val="20"/>
                <w:szCs w:val="21"/>
              </w:rPr>
            </w:pPr>
            <w:r>
              <w:rPr>
                <w:kern w:val="0"/>
                <w:sz w:val="20"/>
                <w:szCs w:val="21"/>
              </w:rPr>
              <w:t>维持现状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kern w:val="0"/>
                <w:sz w:val="20"/>
                <w:szCs w:val="21"/>
              </w:rPr>
            </w:pPr>
          </w:p>
        </w:tc>
        <w:tc>
          <w:tcPr>
            <w:tcW w:w="2268" w:type="dxa"/>
            <w:vAlign w:val="center"/>
          </w:tcPr>
          <w:p>
            <w:pPr>
              <w:jc w:val="center"/>
              <w:rPr>
                <w:kern w:val="0"/>
                <w:sz w:val="20"/>
                <w:szCs w:val="21"/>
              </w:rPr>
            </w:pPr>
            <w:r>
              <w:rPr>
                <w:kern w:val="0"/>
                <w:sz w:val="20"/>
                <w:szCs w:val="21"/>
              </w:rPr>
              <w:t>矿山公路</w:t>
            </w:r>
          </w:p>
        </w:tc>
        <w:tc>
          <w:tcPr>
            <w:tcW w:w="1713" w:type="dxa"/>
            <w:vAlign w:val="center"/>
          </w:tcPr>
          <w:p>
            <w:pPr>
              <w:jc w:val="center"/>
              <w:rPr>
                <w:kern w:val="0"/>
                <w:sz w:val="20"/>
                <w:szCs w:val="21"/>
              </w:rPr>
            </w:pPr>
            <w:r>
              <w:rPr>
                <w:kern w:val="0"/>
                <w:sz w:val="20"/>
                <w:szCs w:val="21"/>
              </w:rPr>
              <w:t>丘陵、沟谷</w:t>
            </w:r>
          </w:p>
        </w:tc>
        <w:tc>
          <w:tcPr>
            <w:tcW w:w="1751" w:type="dxa"/>
            <w:vAlign w:val="center"/>
          </w:tcPr>
          <w:p>
            <w:pPr>
              <w:jc w:val="center"/>
              <w:rPr>
                <w:kern w:val="0"/>
                <w:sz w:val="20"/>
                <w:szCs w:val="21"/>
              </w:rPr>
            </w:pPr>
            <w:r>
              <w:rPr>
                <w:kern w:val="0"/>
                <w:sz w:val="20"/>
                <w:szCs w:val="21"/>
              </w:rPr>
              <w:t>是</w:t>
            </w:r>
          </w:p>
        </w:tc>
        <w:tc>
          <w:tcPr>
            <w:tcW w:w="1751" w:type="dxa"/>
            <w:vAlign w:val="center"/>
          </w:tcPr>
          <w:p>
            <w:pPr>
              <w:jc w:val="center"/>
              <w:rPr>
                <w:kern w:val="0"/>
                <w:sz w:val="20"/>
                <w:szCs w:val="21"/>
              </w:rPr>
            </w:pPr>
            <w:r>
              <w:rPr>
                <w:kern w:val="0"/>
                <w:sz w:val="20"/>
                <w:szCs w:val="21"/>
              </w:rPr>
              <w:t>增大</w:t>
            </w:r>
          </w:p>
        </w:tc>
      </w:tr>
    </w:tbl>
    <w:p>
      <w:pPr>
        <w:pStyle w:val="4"/>
        <w:spacing w:before="120" w:after="120" w:line="470" w:lineRule="exact"/>
        <w:jc w:val="left"/>
        <w:rPr>
          <w:rFonts w:ascii="Times New Roman" w:hAnsi="Times New Roman" w:eastAsia="宋体"/>
          <w:b w:val="0"/>
          <w:bCs w:val="0"/>
          <w:sz w:val="28"/>
        </w:rPr>
      </w:pPr>
      <w:bookmarkStart w:id="49" w:name="_Toc130937632"/>
      <w:r>
        <w:rPr>
          <w:rFonts w:ascii="Times New Roman" w:hAnsi="Times New Roman" w:eastAsia="宋体"/>
          <w:b w:val="0"/>
          <w:bCs w:val="0"/>
          <w:sz w:val="28"/>
        </w:rPr>
        <w:t>二、土地资源占损</w:t>
      </w:r>
      <w:bookmarkEnd w:id="49"/>
    </w:p>
    <w:p>
      <w:pPr>
        <w:pStyle w:val="5"/>
        <w:spacing w:before="0" w:after="0" w:line="360" w:lineRule="auto"/>
        <w:jc w:val="left"/>
        <w:rPr>
          <w:b w:val="0"/>
          <w:bCs w:val="0"/>
          <w:sz w:val="24"/>
          <w:szCs w:val="24"/>
        </w:rPr>
      </w:pPr>
      <w:r>
        <w:rPr>
          <w:b w:val="0"/>
          <w:bCs w:val="0"/>
          <w:sz w:val="24"/>
          <w:szCs w:val="24"/>
        </w:rPr>
        <w:t>（一）土地资源占损现状及环境质量现状</w:t>
      </w:r>
    </w:p>
    <w:p>
      <w:pPr>
        <w:spacing w:line="360" w:lineRule="auto"/>
        <w:ind w:firstLine="480"/>
        <w:rPr>
          <w:sz w:val="24"/>
        </w:rPr>
      </w:pPr>
      <w:r>
        <w:rPr>
          <w:sz w:val="24"/>
        </w:rPr>
        <w:t>依前述，矿山为开采多年矿山，</w:t>
      </w:r>
      <w:r>
        <w:rPr>
          <w:kern w:val="0"/>
          <w:sz w:val="24"/>
        </w:rPr>
        <w:t>矿山现已形成了完善的露天开采加工区、地面办公、生活设施及材料库等辅助建筑，采矿占用土地资源的主要是矿部及工业广场、露天采场和矿山公路（详见附图一）。</w:t>
      </w:r>
      <w:r>
        <w:rPr>
          <w:sz w:val="24"/>
        </w:rPr>
        <w:t>据浮邱山乡第三次国土调查成果，矿山共占损用地</w:t>
      </w:r>
      <w:r>
        <w:rPr>
          <w:rFonts w:hint="eastAsia"/>
          <w:sz w:val="24"/>
        </w:rPr>
        <w:t>**</w:t>
      </w:r>
      <w:r>
        <w:rPr>
          <w:sz w:val="24"/>
        </w:rPr>
        <w:t>公顷，其中林地</w:t>
      </w:r>
      <w:r>
        <w:rPr>
          <w:rFonts w:hint="eastAsia"/>
          <w:sz w:val="24"/>
        </w:rPr>
        <w:t>****</w:t>
      </w:r>
      <w:r>
        <w:rPr>
          <w:sz w:val="24"/>
        </w:rPr>
        <w:t>公顷、采矿用地</w:t>
      </w:r>
      <w:r>
        <w:rPr>
          <w:rFonts w:hint="eastAsia"/>
          <w:sz w:val="24"/>
        </w:rPr>
        <w:t>***</w:t>
      </w:r>
      <w:r>
        <w:rPr>
          <w:sz w:val="24"/>
        </w:rPr>
        <w:t>公顷，农村宅基地</w:t>
      </w:r>
      <w:r>
        <w:rPr>
          <w:rFonts w:hint="eastAsia"/>
          <w:sz w:val="24"/>
        </w:rPr>
        <w:t>***</w:t>
      </w:r>
      <w:r>
        <w:rPr>
          <w:sz w:val="24"/>
        </w:rPr>
        <w:t>公顷、农村道路</w:t>
      </w:r>
      <w:r>
        <w:rPr>
          <w:rFonts w:hint="eastAsia"/>
          <w:sz w:val="24"/>
        </w:rPr>
        <w:t>***</w:t>
      </w:r>
      <w:r>
        <w:rPr>
          <w:sz w:val="24"/>
        </w:rPr>
        <w:t>公顷、工业用地</w:t>
      </w:r>
      <w:r>
        <w:rPr>
          <w:rFonts w:hint="eastAsia"/>
          <w:sz w:val="24"/>
        </w:rPr>
        <w:t>***</w:t>
      </w:r>
      <w:r>
        <w:rPr>
          <w:sz w:val="24"/>
        </w:rPr>
        <w:t>公顷、旱地</w:t>
      </w:r>
      <w:r>
        <w:rPr>
          <w:rFonts w:hint="eastAsia"/>
          <w:sz w:val="24"/>
        </w:rPr>
        <w:t>***</w:t>
      </w:r>
      <w:r>
        <w:rPr>
          <w:sz w:val="24"/>
        </w:rPr>
        <w:t>公顷、水田</w:t>
      </w:r>
      <w:r>
        <w:rPr>
          <w:rFonts w:hint="eastAsia"/>
          <w:sz w:val="24"/>
        </w:rPr>
        <w:t>***</w:t>
      </w:r>
      <w:r>
        <w:rPr>
          <w:sz w:val="24"/>
        </w:rPr>
        <w:t>公顷、坑塘水面</w:t>
      </w:r>
      <w:r>
        <w:rPr>
          <w:rFonts w:hint="eastAsia"/>
          <w:sz w:val="24"/>
        </w:rPr>
        <w:t>***</w:t>
      </w:r>
      <w:r>
        <w:rPr>
          <w:sz w:val="24"/>
        </w:rPr>
        <w:t>公顷。根据土地利用现状图</w:t>
      </w:r>
      <w:r>
        <w:rPr>
          <w:rFonts w:hint="eastAsia"/>
          <w:sz w:val="24"/>
        </w:rPr>
        <w:t>（</w:t>
      </w:r>
      <w:r>
        <w:rPr>
          <w:sz w:val="24"/>
        </w:rPr>
        <w:t>图3-1</w:t>
      </w:r>
      <w:r>
        <w:rPr>
          <w:rFonts w:hint="eastAsia"/>
          <w:sz w:val="24"/>
        </w:rPr>
        <w:t>）</w:t>
      </w:r>
      <w:r>
        <w:rPr>
          <w:sz w:val="24"/>
        </w:rPr>
        <w:t>，具体情况详见表3-2。露采场造成地表大面积挖损，破坏大面积植被，改变土地类型，土石环境遭到破坏，土地荒芜，短期内难以恢复，损毁了土地资源。</w:t>
      </w:r>
    </w:p>
    <w:p>
      <w:pPr>
        <w:pStyle w:val="5"/>
        <w:spacing w:before="0" w:after="0" w:line="360" w:lineRule="auto"/>
        <w:jc w:val="left"/>
        <w:rPr>
          <w:b w:val="0"/>
          <w:bCs w:val="0"/>
          <w:sz w:val="24"/>
          <w:szCs w:val="24"/>
        </w:rPr>
      </w:pPr>
      <w:r>
        <w:rPr>
          <w:b w:val="0"/>
          <w:bCs w:val="0"/>
          <w:sz w:val="24"/>
          <w:szCs w:val="24"/>
        </w:rPr>
        <w:t>（二）土地资源占损破坏的预测分析</w:t>
      </w:r>
    </w:p>
    <w:p>
      <w:pPr>
        <w:spacing w:line="470" w:lineRule="exact"/>
        <w:ind w:firstLine="464" w:firstLineChars="200"/>
        <w:jc w:val="left"/>
        <w:rPr>
          <w:spacing w:val="-4"/>
          <w:sz w:val="24"/>
        </w:rPr>
      </w:pPr>
      <w:r>
        <w:rPr>
          <w:spacing w:val="-4"/>
          <w:sz w:val="24"/>
        </w:rPr>
        <w:t>根据开发利用方案、矿山现有资源储量及未来开采进度计划，矿山各项功能区已配套成熟，不在进行大的建设，未来将继续按照设计，采取“从上而下”的原则依次逐台阶进行露天开采。未来矿山土地占损方式没有变化，主要仍为露天采场、矿部地面建设矿山公路。其中露采场随着进度计划不断增大，直至开采至+</w:t>
      </w:r>
      <w:r>
        <w:rPr>
          <w:rFonts w:hint="eastAsia"/>
          <w:spacing w:val="-4"/>
          <w:sz w:val="24"/>
        </w:rPr>
        <w:t>**</w:t>
      </w:r>
      <w:r>
        <w:rPr>
          <w:spacing w:val="-4"/>
          <w:sz w:val="24"/>
        </w:rPr>
        <w:t>m最低标高水平后终止时达到最大，露采场最大时占损面积</w:t>
      </w:r>
      <w:r>
        <w:rPr>
          <w:rFonts w:hint="eastAsia"/>
          <w:spacing w:val="-4"/>
          <w:sz w:val="24"/>
        </w:rPr>
        <w:t>****</w:t>
      </w:r>
      <w:r>
        <w:rPr>
          <w:spacing w:val="-4"/>
          <w:sz w:val="24"/>
        </w:rPr>
        <w:t>公顷，</w:t>
      </w:r>
      <w:r>
        <w:rPr>
          <w:sz w:val="24"/>
        </w:rPr>
        <w:t>其大面积挖损地表，破坏植被，改变土地类型，土石环境遭到破坏，土地荒芜，短期内难以恢复，将损毁土地资源；而</w:t>
      </w:r>
      <w:r>
        <w:rPr>
          <w:spacing w:val="-4"/>
          <w:sz w:val="24"/>
        </w:rPr>
        <w:t>矿部地面建设及矿山公路等占损范围基本固定，其中矿部生活区占损面积</w:t>
      </w:r>
      <w:r>
        <w:rPr>
          <w:rFonts w:hint="eastAsia"/>
          <w:spacing w:val="-4"/>
          <w:sz w:val="24"/>
        </w:rPr>
        <w:t>***</w:t>
      </w:r>
      <w:r>
        <w:rPr>
          <w:spacing w:val="-4"/>
          <w:sz w:val="24"/>
        </w:rPr>
        <w:t>公顷，矿山公路占损面积</w:t>
      </w:r>
      <w:r>
        <w:rPr>
          <w:rFonts w:hint="eastAsia"/>
          <w:spacing w:val="-4"/>
          <w:sz w:val="24"/>
        </w:rPr>
        <w:t>***</w:t>
      </w:r>
      <w:r>
        <w:rPr>
          <w:spacing w:val="-4"/>
          <w:sz w:val="24"/>
        </w:rPr>
        <w:t>公顷。</w:t>
      </w:r>
    </w:p>
    <w:p>
      <w:pPr>
        <w:spacing w:line="470" w:lineRule="exact"/>
        <w:ind w:firstLine="480" w:firstLineChars="200"/>
        <w:jc w:val="left"/>
        <w:rPr>
          <w:kern w:val="0"/>
          <w:sz w:val="24"/>
        </w:rPr>
      </w:pPr>
      <w:r>
        <w:rPr>
          <w:sz w:val="24"/>
        </w:rPr>
        <w:t>因此，未来矿山新增占损土地面积总计</w:t>
      </w:r>
      <w:r>
        <w:rPr>
          <w:rFonts w:hint="eastAsia"/>
          <w:sz w:val="24"/>
        </w:rPr>
        <w:t>***</w:t>
      </w:r>
      <w:r>
        <w:rPr>
          <w:sz w:val="24"/>
        </w:rPr>
        <w:t>公顷，其中占用林地约</w:t>
      </w:r>
      <w:r>
        <w:rPr>
          <w:rFonts w:hint="eastAsia"/>
          <w:sz w:val="24"/>
        </w:rPr>
        <w:t>***</w:t>
      </w:r>
      <w:r>
        <w:rPr>
          <w:sz w:val="24"/>
        </w:rPr>
        <w:t>公顷，采矿用地</w:t>
      </w:r>
      <w:r>
        <w:rPr>
          <w:rFonts w:hint="eastAsia"/>
          <w:sz w:val="24"/>
        </w:rPr>
        <w:t>***</w:t>
      </w:r>
      <w:r>
        <w:rPr>
          <w:sz w:val="24"/>
        </w:rPr>
        <w:t>公顷。</w:t>
      </w:r>
      <w:r>
        <w:rPr>
          <w:kern w:val="0"/>
          <w:sz w:val="24"/>
        </w:rPr>
        <w:t>从破坏类型方面看，未来矿山露天采场及渣土公路占损土地面积不断增大外，其余基本不变。各土地</w:t>
      </w:r>
      <w:r>
        <w:rPr>
          <w:sz w:val="24"/>
        </w:rPr>
        <w:t>新增</w:t>
      </w:r>
      <w:r>
        <w:rPr>
          <w:kern w:val="0"/>
          <w:sz w:val="24"/>
        </w:rPr>
        <w:t>破坏</w:t>
      </w:r>
      <w:r>
        <w:rPr>
          <w:sz w:val="24"/>
        </w:rPr>
        <w:t>面积</w:t>
      </w:r>
      <w:r>
        <w:rPr>
          <w:kern w:val="0"/>
          <w:sz w:val="24"/>
        </w:rPr>
        <w:t>具体预测分析如下（表3-</w:t>
      </w:r>
      <w:r>
        <w:rPr>
          <w:sz w:val="24"/>
        </w:rPr>
        <w:t>3</w:t>
      </w:r>
      <w:r>
        <w:rPr>
          <w:kern w:val="0"/>
          <w:sz w:val="24"/>
        </w:rPr>
        <w:t>）。</w:t>
      </w:r>
    </w:p>
    <w:p>
      <w:pPr>
        <w:spacing w:line="470" w:lineRule="exact"/>
        <w:ind w:firstLine="480" w:firstLineChars="200"/>
        <w:jc w:val="left"/>
        <w:rPr>
          <w:kern w:val="0"/>
          <w:sz w:val="24"/>
        </w:rPr>
      </w:pPr>
      <w:r>
        <w:rPr>
          <w:kern w:val="0"/>
          <w:sz w:val="24"/>
        </w:rPr>
        <w:t>土壤污染是一个长期过程，未来矿山的服务年限较短，理想状况下约7.7年。矿山已修建了截排水沟实现了雨污分流，针对污水修建了沉淀处理池，未来确保达标排放。矿山矿石和废石中有毒有害物质含量低，未来不会造成大面积土壤污染。而矿山剩余服务年限较短，若无特殊情况进行延续开采的情况下，闭坑后将按计划进行治理修复，消除污染源，则未来不会造成区内土壤环境污染。</w:t>
      </w:r>
    </w:p>
    <w:p>
      <w:pPr>
        <w:jc w:val="center"/>
      </w:pPr>
      <w:r>
        <w:drawing>
          <wp:inline distT="0" distB="0" distL="0" distR="0">
            <wp:extent cx="5896610" cy="5402580"/>
            <wp:effectExtent l="0" t="0" r="1270" b="7620"/>
            <wp:docPr id="22" name="图片 22" descr="E:\湖南源态勘察设计有限公司\4 桃江县金桥石业生态保护修复方案\成果\土地利用现状\土地利用现状图_00.jpg土地利用现状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湖南源态勘察设计有限公司\4 桃江县金桥石业生态保护修复方案\成果\土地利用现状\土地利用现状图_00.jpg土地利用现状图_00"/>
                    <pic:cNvPicPr>
                      <a:picLocks noChangeAspect="1" noChangeArrowheads="1"/>
                    </pic:cNvPicPr>
                  </pic:nvPicPr>
                  <pic:blipFill>
                    <a:blip r:embed="rId37"/>
                    <a:srcRect/>
                    <a:stretch>
                      <a:fillRect/>
                    </a:stretch>
                  </pic:blipFill>
                  <pic:spPr>
                    <a:xfrm>
                      <a:off x="0" y="0"/>
                      <a:ext cx="5896610" cy="5402580"/>
                    </a:xfrm>
                    <a:prstGeom prst="rect">
                      <a:avLst/>
                    </a:prstGeom>
                    <a:noFill/>
                  </pic:spPr>
                </pic:pic>
              </a:graphicData>
            </a:graphic>
          </wp:inline>
        </w:drawing>
      </w:r>
    </w:p>
    <w:p>
      <w:pPr>
        <w:pStyle w:val="2"/>
        <w:jc w:val="center"/>
      </w:pPr>
      <w:r>
        <w:rPr>
          <w:kern w:val="0"/>
          <w:sz w:val="24"/>
        </w:rPr>
        <w:t>图3-1    矿区土地利用占损图</w:t>
      </w:r>
    </w:p>
    <w:p>
      <w:pPr>
        <w:pStyle w:val="2"/>
        <w:jc w:val="center"/>
        <w:sectPr>
          <w:footerReference r:id="rId10" w:type="default"/>
          <w:pgSz w:w="11906" w:h="16838"/>
          <w:pgMar w:top="1440" w:right="1571" w:bottom="1440" w:left="1571" w:header="851" w:footer="992" w:gutter="0"/>
          <w:cols w:space="720" w:num="1"/>
          <w:docGrid w:type="lines" w:linePitch="312" w:charSpace="0"/>
        </w:sectPr>
      </w:pPr>
    </w:p>
    <w:p>
      <w:pPr>
        <w:pStyle w:val="2"/>
        <w:spacing w:after="0"/>
        <w:jc w:val="center"/>
        <w:rPr>
          <w:vertAlign w:val="superscript"/>
        </w:rPr>
      </w:pPr>
      <w:r>
        <w:t xml:space="preserve">表3-2    矿山土地占损现状表    </w:t>
      </w:r>
    </w:p>
    <w:tbl>
      <w:tblPr>
        <w:tblStyle w:val="34"/>
        <w:tblW w:w="14147" w:type="dxa"/>
        <w:tblInd w:w="0" w:type="dxa"/>
        <w:tblLayout w:type="autofit"/>
        <w:tblCellMar>
          <w:top w:w="0" w:type="dxa"/>
          <w:left w:w="108" w:type="dxa"/>
          <w:bottom w:w="0" w:type="dxa"/>
          <w:right w:w="108" w:type="dxa"/>
        </w:tblCellMar>
      </w:tblPr>
      <w:tblGrid>
        <w:gridCol w:w="744"/>
        <w:gridCol w:w="1209"/>
        <w:gridCol w:w="977"/>
        <w:gridCol w:w="977"/>
        <w:gridCol w:w="1325"/>
        <w:gridCol w:w="1442"/>
        <w:gridCol w:w="1209"/>
        <w:gridCol w:w="1209"/>
        <w:gridCol w:w="1209"/>
        <w:gridCol w:w="1209"/>
        <w:gridCol w:w="1428"/>
        <w:gridCol w:w="1209"/>
      </w:tblGrid>
      <w:tr>
        <w:tblPrEx>
          <w:tblCellMar>
            <w:top w:w="0" w:type="dxa"/>
            <w:left w:w="108" w:type="dxa"/>
            <w:bottom w:w="0" w:type="dxa"/>
            <w:right w:w="108" w:type="dxa"/>
          </w:tblCellMar>
        </w:tblPrEx>
        <w:trPr>
          <w:trHeight w:val="59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破坏类型</w:t>
            </w:r>
          </w:p>
        </w:tc>
        <w:tc>
          <w:tcPr>
            <w:tcW w:w="0" w:type="auto"/>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占用、破坏土地情况（㎡）</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合计（㎡）</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土地权属</w:t>
            </w:r>
          </w:p>
        </w:tc>
      </w:tr>
      <w:tr>
        <w:tblPrEx>
          <w:tblCellMar>
            <w:top w:w="0" w:type="dxa"/>
            <w:left w:w="108" w:type="dxa"/>
            <w:bottom w:w="0" w:type="dxa"/>
            <w:right w:w="108" w:type="dxa"/>
          </w:tblCellMar>
        </w:tblPrEx>
        <w:trPr>
          <w:trHeight w:val="59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水田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旱地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林地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农村宅基地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坑塘水面</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农村道路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采矿用地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工业用地</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r>
      <w:tr>
        <w:tblPrEx>
          <w:tblCellMar>
            <w:top w:w="0" w:type="dxa"/>
            <w:left w:w="108" w:type="dxa"/>
            <w:bottom w:w="0" w:type="dxa"/>
            <w:right w:w="108" w:type="dxa"/>
          </w:tblCellMar>
        </w:tblPrEx>
        <w:trPr>
          <w:trHeight w:val="594"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露天采场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14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u w:val="single"/>
              </w:rPr>
            </w:pPr>
            <w:r>
              <w:rPr>
                <w:rFonts w:hint="eastAsia"/>
                <w:kern w:val="0"/>
                <w:sz w:val="18"/>
                <w:szCs w:val="18"/>
              </w:rPr>
              <w:t>*******</w:t>
            </w:r>
          </w:p>
        </w:tc>
        <w:tc>
          <w:tcPr>
            <w:tcW w:w="0" w:type="auto"/>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kern w:val="0"/>
                <w:sz w:val="18"/>
                <w:szCs w:val="18"/>
              </w:rPr>
            </w:pPr>
            <w:r>
              <w:rPr>
                <w:kern w:val="0"/>
                <w:sz w:val="18"/>
                <w:szCs w:val="18"/>
              </w:rPr>
              <w:t>西峰寺村</w:t>
            </w:r>
          </w:p>
        </w:tc>
      </w:tr>
      <w:tr>
        <w:tblPrEx>
          <w:tblCellMar>
            <w:top w:w="0" w:type="dxa"/>
            <w:left w:w="108" w:type="dxa"/>
            <w:bottom w:w="0" w:type="dxa"/>
            <w:right w:w="108" w:type="dxa"/>
          </w:tblCellMar>
        </w:tblPrEx>
        <w:trPr>
          <w:trHeight w:val="594"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办公区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bottom"/>
          </w:tcPr>
          <w:p>
            <w:pPr>
              <w:widowControl/>
              <w:textAlignment w:val="bottom"/>
              <w:rPr>
                <w:sz w:val="20"/>
                <w:szCs w:val="20"/>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1428"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center"/>
              <w:rPr>
                <w:kern w:val="0"/>
                <w:sz w:val="18"/>
                <w:szCs w:val="18"/>
              </w:rPr>
            </w:pPr>
          </w:p>
        </w:tc>
      </w:tr>
      <w:tr>
        <w:tblPrEx>
          <w:tblCellMar>
            <w:top w:w="0" w:type="dxa"/>
            <w:left w:w="108" w:type="dxa"/>
            <w:bottom w:w="0" w:type="dxa"/>
            <w:right w:w="108" w:type="dxa"/>
          </w:tblCellMar>
        </w:tblPrEx>
        <w:trPr>
          <w:trHeight w:val="594"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工业广场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1428"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center"/>
              <w:rPr>
                <w:kern w:val="0"/>
                <w:sz w:val="18"/>
                <w:szCs w:val="18"/>
              </w:rPr>
            </w:pPr>
          </w:p>
        </w:tc>
      </w:tr>
      <w:tr>
        <w:tblPrEx>
          <w:tblCellMar>
            <w:top w:w="0" w:type="dxa"/>
            <w:left w:w="108" w:type="dxa"/>
            <w:bottom w:w="0" w:type="dxa"/>
            <w:right w:w="108" w:type="dxa"/>
          </w:tblCellMar>
        </w:tblPrEx>
        <w:trPr>
          <w:trHeight w:val="594"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矿山道路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1428"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center"/>
              <w:rPr>
                <w:kern w:val="0"/>
                <w:sz w:val="18"/>
                <w:szCs w:val="18"/>
              </w:rPr>
            </w:pPr>
          </w:p>
        </w:tc>
      </w:tr>
    </w:tbl>
    <w:p>
      <w:pPr>
        <w:pStyle w:val="2"/>
        <w:spacing w:after="0"/>
        <w:jc w:val="center"/>
      </w:pPr>
      <w:r>
        <w:t xml:space="preserve">    表3-3             矿山新增土地资源占损预测分析表                </w:t>
      </w:r>
    </w:p>
    <w:tbl>
      <w:tblPr>
        <w:tblStyle w:val="34"/>
        <w:tblW w:w="14147" w:type="dxa"/>
        <w:tblInd w:w="0" w:type="dxa"/>
        <w:tblLayout w:type="autofit"/>
        <w:tblCellMar>
          <w:top w:w="0" w:type="dxa"/>
          <w:left w:w="108" w:type="dxa"/>
          <w:bottom w:w="0" w:type="dxa"/>
          <w:right w:w="108" w:type="dxa"/>
        </w:tblCellMar>
      </w:tblPr>
      <w:tblGrid>
        <w:gridCol w:w="779"/>
        <w:gridCol w:w="1265"/>
        <w:gridCol w:w="779"/>
        <w:gridCol w:w="779"/>
        <w:gridCol w:w="1204"/>
        <w:gridCol w:w="1508"/>
        <w:gridCol w:w="1265"/>
        <w:gridCol w:w="1265"/>
        <w:gridCol w:w="1265"/>
        <w:gridCol w:w="1265"/>
        <w:gridCol w:w="1508"/>
        <w:gridCol w:w="1265"/>
      </w:tblGrid>
      <w:tr>
        <w:tblPrEx>
          <w:tblCellMar>
            <w:top w:w="0" w:type="dxa"/>
            <w:left w:w="108" w:type="dxa"/>
            <w:bottom w:w="0" w:type="dxa"/>
            <w:right w:w="108" w:type="dxa"/>
          </w:tblCellMar>
        </w:tblPrEx>
        <w:trPr>
          <w:trHeight w:val="59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破坏类型</w:t>
            </w:r>
          </w:p>
        </w:tc>
        <w:tc>
          <w:tcPr>
            <w:tcW w:w="0" w:type="auto"/>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占用、破坏土地情况（㎡）</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合计（㎡）</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土地权属</w:t>
            </w:r>
          </w:p>
        </w:tc>
      </w:tr>
      <w:tr>
        <w:tblPrEx>
          <w:tblCellMar>
            <w:top w:w="0" w:type="dxa"/>
            <w:left w:w="108" w:type="dxa"/>
            <w:bottom w:w="0" w:type="dxa"/>
            <w:right w:w="108" w:type="dxa"/>
          </w:tblCellMar>
        </w:tblPrEx>
        <w:trPr>
          <w:trHeight w:val="59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水田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旱地</w:t>
            </w:r>
          </w:p>
        </w:tc>
        <w:tc>
          <w:tcPr>
            <w:tcW w:w="1204"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林地</w:t>
            </w:r>
          </w:p>
        </w:tc>
        <w:tc>
          <w:tcPr>
            <w:tcW w:w="1508" w:type="dxa"/>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农村宅基地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坑塘水面</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农村道路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采矿用地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工业用地</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r>
      <w:tr>
        <w:tblPrEx>
          <w:tblCellMar>
            <w:top w:w="0" w:type="dxa"/>
            <w:left w:w="108" w:type="dxa"/>
            <w:bottom w:w="0" w:type="dxa"/>
            <w:right w:w="108" w:type="dxa"/>
          </w:tblCellMar>
        </w:tblPrEx>
        <w:trPr>
          <w:trHeight w:val="89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露天采场</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12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15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 w:val="18"/>
                <w:szCs w:val="18"/>
              </w:rPr>
            </w:pPr>
            <w:r>
              <w:rPr>
                <w:rFonts w:hint="eastAsia"/>
                <w:kern w:val="0"/>
                <w:sz w:val="18"/>
                <w:szCs w:val="18"/>
              </w:rPr>
              <w:t>********</w:t>
            </w:r>
          </w:p>
        </w:tc>
        <w:tc>
          <w:tcPr>
            <w:tcW w:w="0" w:type="auto"/>
            <w:tcBorders>
              <w:top w:val="nil"/>
              <w:left w:val="single" w:color="auto" w:sz="4" w:space="0"/>
              <w:bottom w:val="single" w:color="000000" w:sz="4" w:space="0"/>
              <w:right w:val="single" w:color="auto" w:sz="4" w:space="0"/>
            </w:tcBorders>
            <w:shd w:val="clear" w:color="auto" w:fill="auto"/>
            <w:noWrap/>
            <w:vAlign w:val="center"/>
          </w:tcPr>
          <w:p>
            <w:pPr>
              <w:widowControl/>
              <w:jc w:val="center"/>
              <w:rPr>
                <w:kern w:val="0"/>
                <w:sz w:val="18"/>
                <w:szCs w:val="18"/>
              </w:rPr>
            </w:pPr>
            <w:r>
              <w:rPr>
                <w:kern w:val="0"/>
                <w:sz w:val="18"/>
                <w:szCs w:val="18"/>
              </w:rPr>
              <w:t>西峰寺村</w:t>
            </w:r>
          </w:p>
        </w:tc>
      </w:tr>
    </w:tbl>
    <w:p>
      <w:pPr>
        <w:rPr>
          <w:lang w:val="zh-CN"/>
        </w:rPr>
      </w:pPr>
    </w:p>
    <w:p>
      <w:pPr>
        <w:pStyle w:val="2"/>
        <w:rPr>
          <w:lang w:val="zh-CN"/>
        </w:rPr>
      </w:pPr>
    </w:p>
    <w:p>
      <w:pPr>
        <w:rPr>
          <w:lang w:val="zh-CN"/>
        </w:rPr>
        <w:sectPr>
          <w:footerReference r:id="rId11" w:type="default"/>
          <w:pgSz w:w="16838" w:h="11906" w:orient="landscape"/>
          <w:pgMar w:top="1559" w:right="1440" w:bottom="1559" w:left="1440" w:header="851" w:footer="992" w:gutter="0"/>
          <w:cols w:space="720" w:num="1"/>
          <w:docGrid w:type="lines" w:linePitch="312" w:charSpace="0"/>
        </w:sectPr>
      </w:pPr>
    </w:p>
    <w:p>
      <w:pPr>
        <w:pStyle w:val="4"/>
        <w:spacing w:before="120" w:after="120" w:line="470" w:lineRule="exact"/>
        <w:jc w:val="left"/>
        <w:rPr>
          <w:rFonts w:ascii="Times New Roman" w:hAnsi="Times New Roman" w:eastAsia="宋体"/>
          <w:b w:val="0"/>
          <w:bCs w:val="0"/>
          <w:sz w:val="28"/>
        </w:rPr>
      </w:pPr>
      <w:bookmarkStart w:id="50" w:name="_Toc130937633"/>
      <w:r>
        <w:rPr>
          <w:rFonts w:ascii="Times New Roman" w:hAnsi="Times New Roman" w:eastAsia="宋体"/>
          <w:b w:val="0"/>
          <w:bCs w:val="0"/>
          <w:sz w:val="28"/>
        </w:rPr>
        <w:t>三、水资源水生态影响</w:t>
      </w:r>
      <w:bookmarkEnd w:id="50"/>
    </w:p>
    <w:p>
      <w:pPr>
        <w:pStyle w:val="5"/>
        <w:spacing w:before="0" w:after="0" w:line="360" w:lineRule="auto"/>
        <w:jc w:val="left"/>
        <w:rPr>
          <w:b w:val="0"/>
          <w:bCs w:val="0"/>
          <w:sz w:val="24"/>
          <w:szCs w:val="24"/>
        </w:rPr>
      </w:pPr>
      <w:r>
        <w:rPr>
          <w:b w:val="0"/>
          <w:bCs w:val="0"/>
          <w:sz w:val="24"/>
          <w:szCs w:val="24"/>
        </w:rPr>
        <w:t>（一）水资源水生态影响现状</w:t>
      </w:r>
    </w:p>
    <w:p>
      <w:pPr>
        <w:spacing w:line="470" w:lineRule="exact"/>
        <w:ind w:firstLine="480" w:firstLineChars="200"/>
        <w:rPr>
          <w:sz w:val="24"/>
        </w:rPr>
      </w:pPr>
      <w:r>
        <w:rPr>
          <w:sz w:val="24"/>
        </w:rPr>
        <w:t>1、水资源破坏现状分析</w:t>
      </w:r>
    </w:p>
    <w:p>
      <w:pPr>
        <w:spacing w:line="470" w:lineRule="exact"/>
        <w:ind w:firstLine="480" w:firstLineChars="200"/>
        <w:rPr>
          <w:sz w:val="24"/>
        </w:rPr>
      </w:pPr>
      <w:r>
        <w:rPr>
          <w:sz w:val="24"/>
        </w:rPr>
        <w:t>（1）地下水枯竭现状</w:t>
      </w:r>
    </w:p>
    <w:p>
      <w:pPr>
        <w:pStyle w:val="7"/>
        <w:ind w:firstLine="480"/>
        <w:rPr>
          <w:sz w:val="24"/>
        </w:rPr>
      </w:pPr>
      <w:r>
        <w:rPr>
          <w:rFonts w:hint="eastAsia" w:ascii="宋体" w:hAnsi="宋体" w:cs="宋体"/>
          <w:sz w:val="24"/>
        </w:rPr>
        <w:t>①</w:t>
      </w:r>
      <w:r>
        <w:rPr>
          <w:sz w:val="24"/>
        </w:rPr>
        <w:t>地下含水层疏干影响较轻</w:t>
      </w:r>
    </w:p>
    <w:p>
      <w:pPr>
        <w:pStyle w:val="7"/>
        <w:ind w:firstLine="480"/>
        <w:rPr>
          <w:sz w:val="24"/>
        </w:rPr>
      </w:pPr>
      <w:r>
        <w:rPr>
          <w:sz w:val="24"/>
        </w:rPr>
        <w:t>据调查，矿区现状条件下，矿坑排水主要为大气降水，而采场最低标高为+</w:t>
      </w:r>
      <w:r>
        <w:rPr>
          <w:rFonts w:hint="eastAsia"/>
          <w:sz w:val="24"/>
        </w:rPr>
        <w:t>****</w:t>
      </w:r>
      <w:r>
        <w:rPr>
          <w:sz w:val="24"/>
        </w:rPr>
        <w:t>m，位于当地侵蚀基准面之上，可自流排水，汇水面积较小。矿山开采对地表水漏失和区域地下水均衡破坏较轻。</w:t>
      </w:r>
    </w:p>
    <w:p>
      <w:pPr>
        <w:pStyle w:val="7"/>
        <w:ind w:firstLine="480"/>
        <w:rPr>
          <w:sz w:val="24"/>
        </w:rPr>
      </w:pPr>
      <w:r>
        <w:rPr>
          <w:rFonts w:hint="eastAsia" w:ascii="宋体" w:hAnsi="宋体" w:cs="宋体"/>
          <w:sz w:val="24"/>
        </w:rPr>
        <w:t>②</w:t>
      </w:r>
      <w:r>
        <w:rPr>
          <w:sz w:val="24"/>
        </w:rPr>
        <w:t>地下水水位超常降低影响较轻</w:t>
      </w:r>
    </w:p>
    <w:p>
      <w:pPr>
        <w:pStyle w:val="7"/>
        <w:ind w:firstLine="480"/>
        <w:rPr>
          <w:sz w:val="24"/>
        </w:rPr>
      </w:pPr>
      <w:r>
        <w:rPr>
          <w:sz w:val="24"/>
        </w:rPr>
        <w:t>矿山露采场开采未疏排地下水，对地下水位降低幅度小，影响较轻。</w:t>
      </w:r>
    </w:p>
    <w:p>
      <w:pPr>
        <w:pStyle w:val="7"/>
        <w:ind w:firstLine="480"/>
        <w:rPr>
          <w:sz w:val="24"/>
        </w:rPr>
      </w:pPr>
      <w:r>
        <w:rPr>
          <w:rFonts w:hint="eastAsia" w:ascii="宋体" w:hAnsi="宋体" w:cs="宋体"/>
          <w:sz w:val="24"/>
        </w:rPr>
        <w:t>③</w:t>
      </w:r>
      <w:r>
        <w:rPr>
          <w:sz w:val="24"/>
        </w:rPr>
        <w:t>井泉干涸影响较轻</w:t>
      </w:r>
    </w:p>
    <w:p>
      <w:pPr>
        <w:pStyle w:val="7"/>
        <w:ind w:firstLine="480"/>
        <w:rPr>
          <w:sz w:val="24"/>
        </w:rPr>
      </w:pPr>
      <w:r>
        <w:rPr>
          <w:sz w:val="24"/>
        </w:rPr>
        <w:t>经调查，矿山开采后对区内井泉未造成干涸，也未影响当地居民的生产生活用水，矿山现状开采对井泉干涸影响较轻。</w:t>
      </w:r>
    </w:p>
    <w:p>
      <w:pPr>
        <w:spacing w:line="470" w:lineRule="exact"/>
        <w:ind w:firstLine="480" w:firstLineChars="200"/>
        <w:rPr>
          <w:sz w:val="24"/>
        </w:rPr>
      </w:pPr>
      <w:r>
        <w:rPr>
          <w:sz w:val="24"/>
        </w:rPr>
        <w:t>（2）区域地下水均衡现状</w:t>
      </w:r>
    </w:p>
    <w:p>
      <w:pPr>
        <w:spacing w:line="470" w:lineRule="exact"/>
        <w:ind w:firstLine="480" w:firstLineChars="200"/>
        <w:rPr>
          <w:sz w:val="24"/>
        </w:rPr>
      </w:pPr>
      <w:r>
        <w:rPr>
          <w:sz w:val="24"/>
        </w:rPr>
        <w:t>区内地下含水层富水性弱，本矿开采矿体位于地下水位之上，现有的采坑排水主要为大气降水，采坑水自流外排，无需抽排地下水，对地下含水层的影响小，故对区域地下水均衡破坏影响现状较轻。现状评估，矿山矿业活动对区域地下水均衡破坏影响较轻。</w:t>
      </w:r>
    </w:p>
    <w:p>
      <w:pPr>
        <w:spacing w:line="470" w:lineRule="exact"/>
        <w:ind w:firstLine="480" w:firstLineChars="200"/>
        <w:rPr>
          <w:sz w:val="24"/>
        </w:rPr>
      </w:pPr>
      <w:r>
        <w:rPr>
          <w:sz w:val="24"/>
        </w:rPr>
        <w:t>（3）地表水漏失现状</w:t>
      </w:r>
    </w:p>
    <w:p>
      <w:pPr>
        <w:spacing w:line="470" w:lineRule="exact"/>
        <w:ind w:firstLine="480" w:firstLineChars="200"/>
        <w:rPr>
          <w:sz w:val="24"/>
        </w:rPr>
      </w:pPr>
      <w:r>
        <w:rPr>
          <w:sz w:val="24"/>
        </w:rPr>
        <w:t>区内地表水主要为冲沟小溪。经调查，采场外围的沟谷溪流、水塘和稻田水未见漏失，未影响农田作物生长。现状评估，矿山矿业活动对地表水漏失影响较轻。</w:t>
      </w:r>
    </w:p>
    <w:p>
      <w:pPr>
        <w:spacing w:line="470" w:lineRule="exact"/>
        <w:ind w:firstLine="480" w:firstLineChars="200"/>
        <w:rPr>
          <w:sz w:val="24"/>
        </w:rPr>
      </w:pPr>
      <w:r>
        <w:rPr>
          <w:sz w:val="24"/>
        </w:rPr>
        <w:t>综上，现状矿山开采对水资源的破坏影响小。</w:t>
      </w:r>
    </w:p>
    <w:p>
      <w:pPr>
        <w:spacing w:line="470" w:lineRule="exact"/>
        <w:ind w:firstLine="480" w:firstLineChars="200"/>
        <w:rPr>
          <w:sz w:val="24"/>
        </w:rPr>
      </w:pPr>
      <w:r>
        <w:rPr>
          <w:sz w:val="24"/>
        </w:rPr>
        <w:t>2、矿山开采对水环境的影响</w:t>
      </w:r>
    </w:p>
    <w:p>
      <w:pPr>
        <w:spacing w:line="470" w:lineRule="exact"/>
        <w:ind w:firstLine="480" w:firstLineChars="200"/>
        <w:rPr>
          <w:sz w:val="24"/>
        </w:rPr>
      </w:pPr>
      <w:r>
        <w:rPr>
          <w:sz w:val="24"/>
        </w:rPr>
        <w:t>（1）对地表水环境污染影响较轻</w:t>
      </w:r>
    </w:p>
    <w:p>
      <w:pPr>
        <w:spacing w:line="470" w:lineRule="exact"/>
        <w:ind w:firstLine="480" w:firstLineChars="200"/>
        <w:rPr>
          <w:sz w:val="24"/>
        </w:rPr>
      </w:pPr>
      <w:r>
        <w:rPr>
          <w:sz w:val="24"/>
        </w:rPr>
        <w:t>据调查，矿山目前处于开采阶段，有废土(石) 堆放。花岗岩矿无有毒、有害元素，经沉淀后的矿坑积水可达标排放，用此水灌溉的农作物未出现明显减产及品质的变化现象。因此，现状评估矿业活动对地表水环境影响较轻。</w:t>
      </w:r>
    </w:p>
    <w:p>
      <w:pPr>
        <w:spacing w:line="470" w:lineRule="exact"/>
        <w:ind w:firstLine="480" w:firstLineChars="200"/>
        <w:rPr>
          <w:sz w:val="24"/>
        </w:rPr>
      </w:pPr>
      <w:r>
        <w:rPr>
          <w:sz w:val="24"/>
        </w:rPr>
        <w:t>（2）对地下水环境污染影响小</w:t>
      </w:r>
    </w:p>
    <w:p>
      <w:pPr>
        <w:spacing w:line="470" w:lineRule="exact"/>
        <w:ind w:firstLine="480" w:firstLineChars="200"/>
        <w:rPr>
          <w:sz w:val="24"/>
        </w:rPr>
      </w:pPr>
      <w:r>
        <w:rPr>
          <w:sz w:val="24"/>
        </w:rPr>
        <w:t>花岗岩矿无有毒、有害元素，矿坑水经简易沉淀过滤后排入周边渠道，区内农田能正常蓄水，矿坑水基本未渗入地下。</w:t>
      </w:r>
    </w:p>
    <w:p>
      <w:pPr>
        <w:spacing w:line="470" w:lineRule="exact"/>
        <w:ind w:firstLine="480" w:firstLineChars="200"/>
        <w:rPr>
          <w:sz w:val="24"/>
        </w:rPr>
      </w:pPr>
      <w:r>
        <w:rPr>
          <w:sz w:val="24"/>
        </w:rPr>
        <w:t>据实地调查，区内未发生过地下水水质受矿业活动污染与危害的事件，未发生居民饮用地下水出现不良反应的现象，周边水井水质未发现明显变化，现状评估矿业活动对地下水环境影响较轻。</w:t>
      </w:r>
    </w:p>
    <w:p>
      <w:pPr>
        <w:spacing w:line="470" w:lineRule="exact"/>
        <w:ind w:firstLine="480" w:firstLineChars="200"/>
        <w:rPr>
          <w:sz w:val="24"/>
        </w:rPr>
      </w:pPr>
      <w:r>
        <w:rPr>
          <w:sz w:val="24"/>
        </w:rPr>
        <w:t>3、矿山开采对水生态的影响</w:t>
      </w:r>
    </w:p>
    <w:p>
      <w:pPr>
        <w:spacing w:line="470" w:lineRule="exact"/>
        <w:ind w:firstLine="480" w:firstLineChars="200"/>
        <w:rPr>
          <w:sz w:val="24"/>
        </w:rPr>
      </w:pPr>
      <w:r>
        <w:rPr>
          <w:sz w:val="24"/>
        </w:rPr>
        <w:t>矿山区及周边地表水系不发育，不存在重要水生生物、索饵场及洄游通道等水环境生态敏感区。如上所述，矿山修建了沉淀池对淋滤废水进行沉淀处理，不会对地表水和地下水产生污染，对水环境影响小，更不会对水生态造成影响。因此，现状矿山对水生态的影响较轻。</w:t>
      </w:r>
    </w:p>
    <w:p>
      <w:pPr>
        <w:spacing w:line="470" w:lineRule="exact"/>
        <w:ind w:firstLine="480" w:firstLineChars="200"/>
        <w:rPr>
          <w:sz w:val="24"/>
        </w:rPr>
      </w:pPr>
      <w:r>
        <w:rPr>
          <w:sz w:val="24"/>
        </w:rPr>
        <w:t>（二）未来矿山对水资源水生态的影响趋势</w:t>
      </w:r>
    </w:p>
    <w:p>
      <w:pPr>
        <w:spacing w:line="470" w:lineRule="exact"/>
        <w:ind w:firstLine="480" w:firstLineChars="200"/>
        <w:rPr>
          <w:sz w:val="24"/>
        </w:rPr>
      </w:pPr>
      <w:r>
        <w:rPr>
          <w:sz w:val="24"/>
        </w:rPr>
        <w:t>1、矿山开采对水资源的影响预测分析</w:t>
      </w:r>
    </w:p>
    <w:p>
      <w:pPr>
        <w:spacing w:line="470" w:lineRule="exact"/>
        <w:ind w:firstLine="480" w:firstLineChars="200"/>
        <w:rPr>
          <w:sz w:val="24"/>
        </w:rPr>
      </w:pPr>
      <w:r>
        <w:rPr>
          <w:sz w:val="24"/>
        </w:rPr>
        <w:t>（1）对地下水资源枯竭影响预测分析</w:t>
      </w:r>
    </w:p>
    <w:p>
      <w:pPr>
        <w:spacing w:line="360" w:lineRule="auto"/>
        <w:ind w:firstLine="480"/>
        <w:rPr>
          <w:sz w:val="24"/>
        </w:rPr>
      </w:pPr>
      <w:r>
        <w:rPr>
          <w:sz w:val="24"/>
        </w:rPr>
        <w:t>未来矿山的开采方式为阶梯式露天开采，开采的最低标高为+</w:t>
      </w:r>
      <w:r>
        <w:rPr>
          <w:rFonts w:hint="eastAsia"/>
          <w:sz w:val="24"/>
        </w:rPr>
        <w:t>****</w:t>
      </w:r>
      <w:r>
        <w:rPr>
          <w:sz w:val="24"/>
        </w:rPr>
        <w:t>m，位于当地侵蚀基准面(+</w:t>
      </w:r>
      <w:r>
        <w:rPr>
          <w:rFonts w:hint="eastAsia"/>
          <w:sz w:val="24"/>
        </w:rPr>
        <w:t>****</w:t>
      </w:r>
      <w:r>
        <w:rPr>
          <w:sz w:val="24"/>
        </w:rPr>
        <w:t>m)之上，矿坑排水主要为自流排水。据调查，矿区无大的断层构造带及岩溶发育带的分布，评估区的构造带含水性和导水性差，且角闪石黑云母花岗闪长岩可视为相对隔水层，预测矿山开采至最低开采标高+</w:t>
      </w:r>
      <w:r>
        <w:rPr>
          <w:rFonts w:hint="eastAsia"/>
          <w:sz w:val="24"/>
        </w:rPr>
        <w:t>****</w:t>
      </w:r>
      <w:r>
        <w:rPr>
          <w:sz w:val="24"/>
        </w:rPr>
        <w:t>m 时，其矿坑涌水量变化小，未来矿业活动对地下水资源影响较小。</w:t>
      </w:r>
    </w:p>
    <w:p>
      <w:pPr>
        <w:spacing w:line="360" w:lineRule="auto"/>
        <w:ind w:firstLine="480"/>
        <w:rPr>
          <w:sz w:val="24"/>
        </w:rPr>
      </w:pPr>
      <w:r>
        <w:rPr>
          <w:sz w:val="24"/>
        </w:rPr>
        <w:t>依上述未来最低开采标高位于当地侵蚀基准面以上，矿区地下水位埋藏较深，开采仅对海拔+</w:t>
      </w:r>
      <w:r>
        <w:rPr>
          <w:rFonts w:hint="eastAsia"/>
          <w:sz w:val="24"/>
        </w:rPr>
        <w:t>**</w:t>
      </w:r>
      <w:r>
        <w:rPr>
          <w:sz w:val="24"/>
        </w:rPr>
        <w:t>m以上含水层有疏干影响，引起采场及周边小范围静水位变化，矿床的开采排水不会使地下水位大幅下降。因此，预测矿业活动对地下水位（水头）超常降低不会产生显著影响。</w:t>
      </w:r>
    </w:p>
    <w:p>
      <w:pPr>
        <w:spacing w:line="360" w:lineRule="auto"/>
        <w:ind w:firstLine="480"/>
        <w:rPr>
          <w:sz w:val="24"/>
        </w:rPr>
      </w:pPr>
      <w:r>
        <w:rPr>
          <w:sz w:val="24"/>
        </w:rPr>
        <w:t>未来采区范围及附近无井泉点出露，矿山未来开采不会影响井泉干涸和水。因此，预测矿业活动对地表井泉干涸不会产生较大影响。</w:t>
      </w:r>
    </w:p>
    <w:p>
      <w:pPr>
        <w:spacing w:line="360" w:lineRule="auto"/>
        <w:ind w:firstLine="480" w:firstLineChars="200"/>
        <w:rPr>
          <w:sz w:val="24"/>
        </w:rPr>
      </w:pPr>
      <w:r>
        <w:rPr>
          <w:sz w:val="24"/>
        </w:rPr>
        <w:t>（2）区域地下水均衡破坏影响预测分析</w:t>
      </w:r>
      <w:r>
        <w:rPr>
          <w:sz w:val="24"/>
        </w:rPr>
        <w:tab/>
      </w:r>
    </w:p>
    <w:p>
      <w:pPr>
        <w:spacing w:line="360" w:lineRule="auto"/>
        <w:ind w:firstLine="480"/>
        <w:rPr>
          <w:sz w:val="24"/>
        </w:rPr>
      </w:pPr>
      <w:r>
        <w:rPr>
          <w:sz w:val="24"/>
        </w:rPr>
        <w:t>矿山最低开采标高(+</w:t>
      </w:r>
      <w:r>
        <w:rPr>
          <w:rFonts w:hint="eastAsia"/>
          <w:sz w:val="24"/>
        </w:rPr>
        <w:t>***</w:t>
      </w:r>
      <w:r>
        <w:rPr>
          <w:sz w:val="24"/>
        </w:rPr>
        <w:t>m)高于当地侵蚀基准面，矿坑积水主要为大气降水,据调查，矿坑涌水量小，矿区采场与周边地下水之间有角闪石黑云母花岗闪长岩相，其影响范围仅为露天采场一带，对区域地下水不会产生影响。因此，预测未来矿业活动对区域水均衡破坏不会有影响。</w:t>
      </w:r>
    </w:p>
    <w:p>
      <w:pPr>
        <w:spacing w:line="360" w:lineRule="auto"/>
        <w:ind w:firstLine="480" w:firstLineChars="200"/>
        <w:rPr>
          <w:sz w:val="24"/>
        </w:rPr>
      </w:pPr>
      <w:r>
        <w:rPr>
          <w:sz w:val="24"/>
        </w:rPr>
        <w:t>（3）矿山开采对地表水漏失影响预测分析</w:t>
      </w:r>
    </w:p>
    <w:p>
      <w:pPr>
        <w:spacing w:line="360" w:lineRule="auto"/>
        <w:ind w:firstLine="480"/>
        <w:rPr>
          <w:sz w:val="24"/>
        </w:rPr>
      </w:pPr>
      <w:r>
        <w:rPr>
          <w:sz w:val="24"/>
        </w:rPr>
        <w:t>据实地调查，区内地表水体主要为露采场西侧和北侧小溪沟，无其他大的地表水体，故未来矿山开采不会导致地表水漏失。</w:t>
      </w:r>
    </w:p>
    <w:p>
      <w:pPr>
        <w:spacing w:line="360" w:lineRule="auto"/>
        <w:ind w:firstLine="480"/>
        <w:rPr>
          <w:sz w:val="24"/>
        </w:rPr>
      </w:pPr>
      <w:r>
        <w:rPr>
          <w:sz w:val="24"/>
        </w:rPr>
        <w:t>2、矿山开采对水环境的影响预测分析</w:t>
      </w:r>
    </w:p>
    <w:p>
      <w:pPr>
        <w:spacing w:line="360" w:lineRule="auto"/>
        <w:ind w:firstLine="480" w:firstLineChars="200"/>
        <w:rPr>
          <w:sz w:val="24"/>
        </w:rPr>
      </w:pPr>
      <w:r>
        <w:rPr>
          <w:sz w:val="24"/>
        </w:rPr>
        <w:t>（1）未来开采对地表水环境影响预测分析</w:t>
      </w:r>
    </w:p>
    <w:p>
      <w:pPr>
        <w:spacing w:line="360" w:lineRule="auto"/>
        <w:ind w:firstLine="480"/>
        <w:rPr>
          <w:sz w:val="24"/>
        </w:rPr>
      </w:pPr>
      <w:r>
        <w:rPr>
          <w:sz w:val="24"/>
        </w:rPr>
        <w:t>现状评估，矿坑水影响范围局限，对地表水污染影响较轻，水环境较好。随着开采范围及深度扩大，其剥离产生少量废渣土，而矿石中有毒、有害元素含量低矿坑水按规定沉淀处理后达标排放，对地表水体影响小。</w:t>
      </w:r>
    </w:p>
    <w:p>
      <w:pPr>
        <w:spacing w:line="360" w:lineRule="auto"/>
        <w:ind w:firstLine="480" w:firstLineChars="200"/>
        <w:rPr>
          <w:sz w:val="24"/>
        </w:rPr>
      </w:pPr>
      <w:r>
        <w:rPr>
          <w:sz w:val="24"/>
        </w:rPr>
        <w:t>（2）未来开采对地下水环境影响预测分析</w:t>
      </w:r>
    </w:p>
    <w:p>
      <w:pPr>
        <w:spacing w:line="360" w:lineRule="auto"/>
        <w:ind w:firstLine="480"/>
        <w:rPr>
          <w:sz w:val="24"/>
        </w:rPr>
      </w:pPr>
      <w:r>
        <w:rPr>
          <w:sz w:val="24"/>
        </w:rPr>
        <w:t>现状评估，矿业活动对地下水环境影响较轻。未来矿业活动主要为露天开采角闪石黑云母花岗闪长岩，最低开采标高高于当地侵蚀基准面标高，未来矿业活动生产废水经截排水沟排放至沉淀池后可达标排放，且矿石中无有毒、有害元素。预测评估，未来矿业活动对地下水环境影响较轻。</w:t>
      </w:r>
    </w:p>
    <w:p>
      <w:pPr>
        <w:spacing w:line="360" w:lineRule="auto"/>
        <w:ind w:firstLine="480" w:firstLineChars="200"/>
        <w:rPr>
          <w:sz w:val="24"/>
        </w:rPr>
      </w:pPr>
      <w:r>
        <w:rPr>
          <w:sz w:val="24"/>
        </w:rPr>
        <w:t>3、未来开采对水生态的影响</w:t>
      </w:r>
    </w:p>
    <w:p>
      <w:pPr>
        <w:spacing w:line="470" w:lineRule="exact"/>
        <w:ind w:firstLine="480" w:firstLineChars="200"/>
        <w:rPr>
          <w:sz w:val="24"/>
        </w:rPr>
      </w:pPr>
      <w:r>
        <w:rPr>
          <w:sz w:val="24"/>
        </w:rPr>
        <w:t>矿山区及周边地表水系发育弱，且不存在重要水生生物、索饵场及洄游通道等水环境生态敏感区。如上所述，矿山露天开采最低标高高于周边地表水体最高洪水位，露采场排水水质较好，有毒有害物质含量低，进行沉淀处理后排标排放，对水环境影响很小，更不会对水生态造成影响。</w:t>
      </w:r>
    </w:p>
    <w:p>
      <w:pPr>
        <w:pStyle w:val="4"/>
        <w:spacing w:before="120" w:after="120" w:line="470" w:lineRule="exact"/>
        <w:jc w:val="left"/>
        <w:rPr>
          <w:rFonts w:ascii="Times New Roman" w:hAnsi="Times New Roman" w:eastAsia="宋体"/>
          <w:b w:val="0"/>
          <w:bCs w:val="0"/>
          <w:sz w:val="28"/>
        </w:rPr>
      </w:pPr>
      <w:bookmarkStart w:id="51" w:name="_Toc130937634"/>
      <w:r>
        <w:rPr>
          <w:rFonts w:ascii="Times New Roman" w:hAnsi="Times New Roman" w:eastAsia="宋体"/>
          <w:b w:val="0"/>
          <w:bCs w:val="0"/>
          <w:sz w:val="28"/>
        </w:rPr>
        <w:t>四、矿山地质灾害影响</w:t>
      </w:r>
      <w:bookmarkEnd w:id="51"/>
    </w:p>
    <w:p>
      <w:pPr>
        <w:pStyle w:val="5"/>
        <w:spacing w:before="0" w:after="0" w:line="360" w:lineRule="auto"/>
        <w:jc w:val="left"/>
        <w:rPr>
          <w:b w:val="0"/>
          <w:bCs w:val="0"/>
          <w:sz w:val="24"/>
          <w:szCs w:val="24"/>
        </w:rPr>
      </w:pPr>
      <w:r>
        <w:rPr>
          <w:b w:val="0"/>
          <w:bCs w:val="0"/>
          <w:sz w:val="24"/>
          <w:szCs w:val="24"/>
        </w:rPr>
        <w:t>（一）现状矿山地质灾害影响</w:t>
      </w:r>
    </w:p>
    <w:p>
      <w:pPr>
        <w:tabs>
          <w:tab w:val="left" w:pos="675"/>
        </w:tabs>
        <w:spacing w:line="360" w:lineRule="auto"/>
        <w:ind w:firstLine="420"/>
        <w:rPr>
          <w:sz w:val="24"/>
        </w:rPr>
      </w:pPr>
      <w:r>
        <w:rPr>
          <w:sz w:val="24"/>
        </w:rPr>
        <w:t>据现场调查，截止目前区内露采场边坡基本稳定，没有发生过崩塌、滑坡、泥石流（废石流）、地裂缝等地质灾害。矿区内无可溶岩类，无岩溶塌陷发生。</w:t>
      </w:r>
    </w:p>
    <w:p>
      <w:pPr>
        <w:spacing w:line="470" w:lineRule="exact"/>
        <w:ind w:firstLine="480" w:firstLineChars="200"/>
        <w:rPr>
          <w:sz w:val="24"/>
        </w:rPr>
      </w:pPr>
      <w:r>
        <w:rPr>
          <w:sz w:val="24"/>
        </w:rPr>
        <w:t>本区属丘陵地貌，植被生长茂盛，植物根系对地表有锚固作用，区内自然斜坡较稳定，生态保护区内亦无采空区地面开裂等地质灾害现象。现状生态保护区内无矿业活动引发的地质灾害、上述各类型地质灾害危险性小。</w:t>
      </w:r>
    </w:p>
    <w:p>
      <w:pPr>
        <w:pStyle w:val="5"/>
        <w:spacing w:before="0" w:after="0" w:line="360" w:lineRule="auto"/>
        <w:jc w:val="left"/>
        <w:rPr>
          <w:b w:val="0"/>
          <w:bCs w:val="0"/>
          <w:sz w:val="24"/>
          <w:szCs w:val="24"/>
        </w:rPr>
      </w:pPr>
      <w:r>
        <w:rPr>
          <w:b w:val="0"/>
          <w:bCs w:val="0"/>
          <w:sz w:val="24"/>
          <w:szCs w:val="24"/>
        </w:rPr>
        <w:t>（二）矿山地质灾害的发展预测分析</w:t>
      </w:r>
    </w:p>
    <w:p>
      <w:pPr>
        <w:spacing w:line="360" w:lineRule="auto"/>
        <w:ind w:firstLine="480" w:firstLineChars="200"/>
        <w:rPr>
          <w:sz w:val="24"/>
        </w:rPr>
      </w:pPr>
      <w:r>
        <w:rPr>
          <w:sz w:val="24"/>
        </w:rPr>
        <w:t>1、矿业活动可能引发地质灾害的预测分析</w:t>
      </w:r>
    </w:p>
    <w:p>
      <w:pPr>
        <w:spacing w:line="360" w:lineRule="auto"/>
        <w:ind w:firstLine="480" w:firstLineChars="200"/>
        <w:rPr>
          <w:sz w:val="24"/>
        </w:rPr>
      </w:pPr>
      <w:r>
        <w:rPr>
          <w:sz w:val="24"/>
        </w:rPr>
        <w:t>（1）引发崩塌、滑坡地质灾害预测分析</w:t>
      </w:r>
    </w:p>
    <w:p>
      <w:pPr>
        <w:spacing w:line="360" w:lineRule="auto"/>
        <w:ind w:firstLine="480" w:firstLineChars="200"/>
        <w:rPr>
          <w:sz w:val="24"/>
        </w:rPr>
      </w:pPr>
      <w:r>
        <w:rPr>
          <w:rFonts w:hint="eastAsia" w:ascii="宋体" w:hAnsi="宋体" w:cs="宋体"/>
          <w:sz w:val="24"/>
        </w:rPr>
        <w:t>①</w:t>
      </w:r>
      <w:r>
        <w:rPr>
          <w:sz w:val="24"/>
        </w:rPr>
        <w:t>露采场边坡崩塌、滑坡地质灾害预测分析</w:t>
      </w:r>
    </w:p>
    <w:p>
      <w:pPr>
        <w:spacing w:line="360" w:lineRule="auto"/>
        <w:ind w:firstLine="480" w:firstLineChars="200"/>
        <w:rPr>
          <w:sz w:val="24"/>
        </w:rPr>
      </w:pPr>
      <w:r>
        <w:rPr>
          <w:sz w:val="24"/>
        </w:rPr>
        <w:t>矿区属侵蚀、剥蚀</w:t>
      </w:r>
      <w:r>
        <w:rPr>
          <w:rFonts w:hint="eastAsia"/>
          <w:sz w:val="24"/>
        </w:rPr>
        <w:t>丘陵地貌</w:t>
      </w:r>
      <w:r>
        <w:rPr>
          <w:sz w:val="24"/>
        </w:rPr>
        <w:t>，整体地势</w:t>
      </w:r>
      <w:r>
        <w:rPr>
          <w:rFonts w:hint="eastAsia"/>
          <w:sz w:val="24"/>
        </w:rPr>
        <w:t>为</w:t>
      </w:r>
      <w:r>
        <w:rPr>
          <w:sz w:val="24"/>
        </w:rPr>
        <w:t>南高北低，最高点位于矿区南侧山顶，海拔标高+</w:t>
      </w:r>
      <w:r>
        <w:rPr>
          <w:rFonts w:hint="eastAsia"/>
          <w:sz w:val="24"/>
        </w:rPr>
        <w:t>*****</w:t>
      </w:r>
      <w:r>
        <w:rPr>
          <w:sz w:val="24"/>
        </w:rPr>
        <w:t>m，最低点海拔标高+</w:t>
      </w:r>
      <w:r>
        <w:rPr>
          <w:rFonts w:hint="eastAsia"/>
          <w:sz w:val="24"/>
        </w:rPr>
        <w:t>*****</w:t>
      </w:r>
      <w:r>
        <w:rPr>
          <w:sz w:val="24"/>
        </w:rPr>
        <w:t>m，相对高差</w:t>
      </w:r>
      <w:r>
        <w:rPr>
          <w:rFonts w:hint="eastAsia"/>
          <w:sz w:val="24"/>
        </w:rPr>
        <w:t>*****</w:t>
      </w:r>
      <w:r>
        <w:rPr>
          <w:sz w:val="24"/>
        </w:rPr>
        <w:t>m，地形坡度较平缓，山坡坡度</w:t>
      </w:r>
      <w:r>
        <w:rPr>
          <w:rFonts w:hint="eastAsia"/>
          <w:sz w:val="24"/>
        </w:rPr>
        <w:t>**</w:t>
      </w:r>
      <w:r>
        <w:rPr>
          <w:sz w:val="24"/>
        </w:rPr>
        <w:t>°～</w:t>
      </w:r>
      <w:r>
        <w:rPr>
          <w:rFonts w:hint="eastAsia"/>
          <w:sz w:val="24"/>
        </w:rPr>
        <w:t>**</w:t>
      </w:r>
      <w:r>
        <w:rPr>
          <w:sz w:val="24"/>
        </w:rPr>
        <w:t>°。区内开采的花岗岩，结构致密，呈厚～巨厚层状，力学强度较高，稳定性好，但在局部节理裂隙发育地段，其力学强度有所降低，地表一般无软弱覆盖层。自然条件下发生崩塌、滑坡的可能性小。</w:t>
      </w:r>
    </w:p>
    <w:p>
      <w:pPr>
        <w:spacing w:line="450" w:lineRule="exact"/>
        <w:ind w:firstLine="480" w:firstLineChars="200"/>
        <w:rPr>
          <w:sz w:val="24"/>
        </w:rPr>
      </w:pPr>
      <w:r>
        <w:rPr>
          <w:sz w:val="24"/>
        </w:rPr>
        <w:t>矿山未来为露天开采，按照开发利用方案，边坡构成要素如下：台阶高度：</w:t>
      </w:r>
      <w:r>
        <w:rPr>
          <w:rFonts w:hint="eastAsia"/>
          <w:sz w:val="24"/>
        </w:rPr>
        <w:t>**</w:t>
      </w:r>
      <w:r>
        <w:rPr>
          <w:sz w:val="24"/>
        </w:rPr>
        <w:t>m；台阶坡面角：基岩</w:t>
      </w:r>
      <w:r>
        <w:rPr>
          <w:rFonts w:hint="eastAsia"/>
          <w:sz w:val="24"/>
        </w:rPr>
        <w:t>**</w:t>
      </w:r>
      <w:r>
        <w:rPr>
          <w:sz w:val="24"/>
        </w:rPr>
        <w:t>° ，覆盖层</w:t>
      </w:r>
      <w:r>
        <w:rPr>
          <w:rFonts w:hint="eastAsia"/>
          <w:sz w:val="24"/>
        </w:rPr>
        <w:t>**</w:t>
      </w:r>
      <w:r>
        <w:rPr>
          <w:sz w:val="24"/>
        </w:rPr>
        <w:t>°，最终边坡角：</w:t>
      </w:r>
      <w:r>
        <w:rPr>
          <w:rFonts w:hint="eastAsia"/>
          <w:sz w:val="24"/>
        </w:rPr>
        <w:t>**</w:t>
      </w:r>
      <w:r>
        <w:rPr>
          <w:sz w:val="24"/>
        </w:rPr>
        <w:t>°。露采采结束后，最终会形成+</w:t>
      </w:r>
      <w:r>
        <w:rPr>
          <w:rFonts w:hint="eastAsia"/>
          <w:sz w:val="24"/>
        </w:rPr>
        <w:t>***</w:t>
      </w:r>
      <w:r>
        <w:rPr>
          <w:sz w:val="24"/>
        </w:rPr>
        <w:t>m～+</w:t>
      </w:r>
      <w:r>
        <w:rPr>
          <w:rFonts w:hint="eastAsia"/>
          <w:sz w:val="24"/>
        </w:rPr>
        <w:t>**</w:t>
      </w:r>
      <w:r>
        <w:rPr>
          <w:sz w:val="24"/>
        </w:rPr>
        <w:t>m共7个平台。最终矿山会形成北、西南、南部三个方向的边坡。未来采场边坡均为岩质边坡，地表覆盖一定厚度的第四系残坡积层和全风化层。未来露采场边坡将经历较长时间的开采，开采面坡度陡，局部高差大，加之地层节理、裂隙发育，应力集中在开采面上，部分边坡存在崩塌隐患。据地表调查常见为二组节理：第一组产状</w:t>
      </w:r>
      <w:r>
        <w:rPr>
          <w:rFonts w:hint="eastAsia"/>
          <w:sz w:val="24"/>
        </w:rPr>
        <w:t>***</w:t>
      </w:r>
      <w:r>
        <w:rPr>
          <w:sz w:val="24"/>
        </w:rPr>
        <w:t>°</w:t>
      </w:r>
      <w:r>
        <w:rPr>
          <w:rFonts w:hint="eastAsia" w:ascii="宋体" w:hAnsi="宋体" w:cs="宋体"/>
          <w:sz w:val="24"/>
        </w:rPr>
        <w:t>∠</w:t>
      </w:r>
      <w:r>
        <w:rPr>
          <w:rFonts w:hint="eastAsia"/>
          <w:sz w:val="24"/>
        </w:rPr>
        <w:t>**</w:t>
      </w:r>
      <w:r>
        <w:rPr>
          <w:sz w:val="24"/>
        </w:rPr>
        <w:t>°；第二组产状</w:t>
      </w:r>
      <w:r>
        <w:rPr>
          <w:rFonts w:hint="eastAsia"/>
          <w:sz w:val="24"/>
        </w:rPr>
        <w:t>**</w:t>
      </w:r>
      <w:r>
        <w:rPr>
          <w:sz w:val="24"/>
        </w:rPr>
        <w:t>°</w:t>
      </w:r>
      <w:r>
        <w:rPr>
          <w:rFonts w:hint="eastAsia" w:ascii="宋体" w:hAnsi="宋体" w:cs="宋体"/>
          <w:sz w:val="24"/>
        </w:rPr>
        <w:t>∠</w:t>
      </w:r>
      <w:r>
        <w:rPr>
          <w:rFonts w:hint="eastAsia"/>
          <w:sz w:val="24"/>
        </w:rPr>
        <w:t>**</w:t>
      </w:r>
      <w:r>
        <w:rPr>
          <w:sz w:val="24"/>
        </w:rPr>
        <w:t>°。节理裂隙将岩体切割成大小不等的块体，破坏岩体完整性，影响局部岩体的力学性质及稳定性。</w:t>
      </w:r>
    </w:p>
    <w:p>
      <w:pPr>
        <w:spacing w:line="360" w:lineRule="auto"/>
        <w:ind w:firstLine="480" w:firstLineChars="200"/>
        <w:rPr>
          <w:sz w:val="24"/>
        </w:rPr>
      </w:pPr>
      <w:r>
        <w:rPr>
          <w:sz w:val="24"/>
        </w:rPr>
        <w:t>本次根据岩体结构、地层产状及节理裂隙等结构面产状，运用赤平投影法，对未来开采中可能形成的矿山几个方向的边坡特征及崩塌稳定性进行分析。</w:t>
      </w:r>
    </w:p>
    <w:p>
      <w:pPr>
        <w:spacing w:line="360" w:lineRule="auto"/>
        <w:ind w:firstLine="480" w:firstLineChars="200"/>
        <w:rPr>
          <w:sz w:val="24"/>
        </w:rPr>
      </w:pPr>
      <w:r>
        <w:rPr>
          <w:sz w:val="24"/>
        </w:rPr>
        <w:t>A、北部边坡：未来边坡高度</w:t>
      </w:r>
      <w:r>
        <w:rPr>
          <w:rFonts w:hint="eastAsia"/>
          <w:sz w:val="24"/>
        </w:rPr>
        <w:t>**</w:t>
      </w:r>
      <w:r>
        <w:rPr>
          <w:sz w:val="24"/>
        </w:rPr>
        <w:t>-</w:t>
      </w:r>
      <w:r>
        <w:rPr>
          <w:rFonts w:hint="eastAsia"/>
          <w:sz w:val="24"/>
        </w:rPr>
        <w:t>**</w:t>
      </w:r>
      <w:r>
        <w:rPr>
          <w:sz w:val="24"/>
        </w:rPr>
        <w:t>m，最终边坡角</w:t>
      </w:r>
      <w:r>
        <w:rPr>
          <w:rFonts w:hint="eastAsia"/>
          <w:sz w:val="24"/>
        </w:rPr>
        <w:t>**</w:t>
      </w:r>
      <w:r>
        <w:rPr>
          <w:sz w:val="24"/>
        </w:rPr>
        <w:t>°，台阶角</w:t>
      </w:r>
      <w:r>
        <w:rPr>
          <w:rFonts w:hint="eastAsia"/>
          <w:sz w:val="24"/>
        </w:rPr>
        <w:t>**</w:t>
      </w:r>
      <w:r>
        <w:rPr>
          <w:sz w:val="24"/>
        </w:rPr>
        <w:t>°，坡体浅表为第四系残坡积层和全风化层，厚度</w:t>
      </w:r>
      <w:r>
        <w:rPr>
          <w:rFonts w:hint="eastAsia"/>
          <w:sz w:val="24"/>
        </w:rPr>
        <w:t>*</w:t>
      </w:r>
      <w:r>
        <w:rPr>
          <w:sz w:val="24"/>
        </w:rPr>
        <w:t>-</w:t>
      </w:r>
      <w:r>
        <w:rPr>
          <w:rFonts w:hint="eastAsia"/>
          <w:sz w:val="24"/>
        </w:rPr>
        <w:t>***</w:t>
      </w:r>
      <w:r>
        <w:rPr>
          <w:sz w:val="24"/>
        </w:rPr>
        <w:t>m，切坡后受降雨因素影响存在引发浅表小型土质崩塌的可能性；节理裂隙多与坡向垂直，产状与裂隙组合线倾向坡内，倾角大于自然坡度角，小于切坡坡角，其结构组合线反倾，为有利组合</w:t>
      </w:r>
      <w:r>
        <w:rPr>
          <w:rFonts w:hint="eastAsia"/>
          <w:sz w:val="24"/>
        </w:rPr>
        <w:t>（图3-2）</w:t>
      </w:r>
      <w:r>
        <w:rPr>
          <w:sz w:val="24"/>
        </w:rPr>
        <w:t>。切割楔形体较稳定；裂隙间多为长石、石英充填，其结构组合多利于边坡稳定。</w:t>
      </w:r>
    </w:p>
    <w:p>
      <w:pPr>
        <w:pStyle w:val="128"/>
        <w:outlineLvl w:val="9"/>
        <w:rPr>
          <w:sz w:val="21"/>
          <w:szCs w:val="21"/>
        </w:rPr>
      </w:pPr>
      <w:r>
        <w:rPr>
          <w:sz w:val="21"/>
          <w:szCs w:val="21"/>
          <w:lang w:val="en-US"/>
        </w:rPr>
        <w:drawing>
          <wp:inline distT="0" distB="0" distL="0" distR="0">
            <wp:extent cx="3775710" cy="2817495"/>
            <wp:effectExtent l="12700" t="12700" r="21590" b="27305"/>
            <wp:docPr id="8" name="图片 8" descr="C:\Users\Administrator\Desktop\微信截图_20230314214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截图_2023031421475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775710" cy="2817495"/>
                    </a:xfrm>
                    <a:prstGeom prst="rect">
                      <a:avLst/>
                    </a:prstGeom>
                    <a:noFill/>
                    <a:ln w="12700">
                      <a:solidFill>
                        <a:schemeClr val="tx1"/>
                      </a:solidFill>
                    </a:ln>
                  </pic:spPr>
                </pic:pic>
              </a:graphicData>
            </a:graphic>
          </wp:inline>
        </w:drawing>
      </w:r>
    </w:p>
    <w:p>
      <w:pPr>
        <w:pStyle w:val="128"/>
        <w:outlineLvl w:val="9"/>
        <w:rPr>
          <w:sz w:val="21"/>
          <w:szCs w:val="21"/>
        </w:rPr>
      </w:pPr>
    </w:p>
    <w:p>
      <w:pPr>
        <w:pStyle w:val="128"/>
        <w:outlineLvl w:val="9"/>
      </w:pPr>
      <w:r>
        <w:rPr>
          <w:sz w:val="21"/>
          <w:szCs w:val="21"/>
        </w:rPr>
        <w:t>图3-</w:t>
      </w:r>
      <w:r>
        <w:rPr>
          <w:sz w:val="21"/>
          <w:szCs w:val="21"/>
          <w:lang w:val="en-US"/>
        </w:rPr>
        <w:t>2</w:t>
      </w:r>
      <w:r>
        <w:rPr>
          <w:sz w:val="21"/>
          <w:szCs w:val="21"/>
        </w:rPr>
        <w:t xml:space="preserve">    北部边坡赤平投影图</w:t>
      </w:r>
    </w:p>
    <w:p>
      <w:pPr>
        <w:numPr>
          <w:ilvl w:val="0"/>
          <w:numId w:val="4"/>
        </w:numPr>
        <w:spacing w:line="360" w:lineRule="auto"/>
        <w:ind w:firstLine="480" w:firstLineChars="200"/>
        <w:rPr>
          <w:sz w:val="24"/>
        </w:rPr>
      </w:pPr>
      <w:r>
        <w:rPr>
          <w:sz w:val="24"/>
        </w:rPr>
        <w:t>西南部边坡：未来边坡高度</w:t>
      </w:r>
      <w:r>
        <w:rPr>
          <w:rFonts w:hint="eastAsia"/>
          <w:sz w:val="24"/>
        </w:rPr>
        <w:t>**</w:t>
      </w:r>
      <w:r>
        <w:rPr>
          <w:sz w:val="24"/>
        </w:rPr>
        <w:t>-</w:t>
      </w:r>
      <w:r>
        <w:rPr>
          <w:rFonts w:hint="eastAsia"/>
          <w:sz w:val="24"/>
        </w:rPr>
        <w:t>**</w:t>
      </w:r>
      <w:r>
        <w:rPr>
          <w:sz w:val="24"/>
        </w:rPr>
        <w:t>m，边坡角</w:t>
      </w:r>
      <w:r>
        <w:rPr>
          <w:rFonts w:hint="eastAsia"/>
          <w:sz w:val="24"/>
        </w:rPr>
        <w:t>**</w:t>
      </w:r>
      <w:r>
        <w:rPr>
          <w:sz w:val="24"/>
        </w:rPr>
        <w:t>°，西南边坡岩体中存在外倾结构面，存在2条外倾组合结构线，经赤平投影分析：边坡坡向与节理L2倾向相同，组合线斜倾向坡外，倾角大于切坡坡度角，切割楔形体稳定性一般</w:t>
      </w:r>
      <w:r>
        <w:rPr>
          <w:rFonts w:hint="eastAsia"/>
          <w:sz w:val="24"/>
        </w:rPr>
        <w:t>（图3-3）</w:t>
      </w:r>
      <w:r>
        <w:rPr>
          <w:sz w:val="24"/>
        </w:rPr>
        <w:t>；但是不会产生岩体楔形破坏和顺层滑动，软弱结构面附近岩石不会发生崩落、顺层滑动等现象；</w:t>
      </w:r>
    </w:p>
    <w:p>
      <w:pPr>
        <w:pStyle w:val="2"/>
        <w:jc w:val="center"/>
      </w:pPr>
      <w:r>
        <w:rPr>
          <w:sz w:val="24"/>
        </w:rPr>
        <w:drawing>
          <wp:inline distT="0" distB="0" distL="0" distR="0">
            <wp:extent cx="4298950" cy="3169920"/>
            <wp:effectExtent l="12700" t="12700" r="12700" b="17780"/>
            <wp:docPr id="9" name="图片 9" descr="C:\Users\Administrator\Desktop\微信截图_2023031421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微信截图_202303142156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298950" cy="3169920"/>
                    </a:xfrm>
                    <a:prstGeom prst="rect">
                      <a:avLst/>
                    </a:prstGeom>
                    <a:noFill/>
                    <a:ln w="12700">
                      <a:solidFill>
                        <a:schemeClr val="tx1"/>
                      </a:solidFill>
                    </a:ln>
                  </pic:spPr>
                </pic:pic>
              </a:graphicData>
            </a:graphic>
          </wp:inline>
        </w:drawing>
      </w:r>
    </w:p>
    <w:p>
      <w:pPr>
        <w:pStyle w:val="2"/>
        <w:spacing w:after="0"/>
        <w:jc w:val="center"/>
        <w:rPr>
          <w:b/>
        </w:rPr>
      </w:pPr>
      <w:r>
        <w:rPr>
          <w:b/>
          <w:szCs w:val="21"/>
        </w:rPr>
        <w:t>图 3-3     西南部边坡赤平投影图</w:t>
      </w:r>
    </w:p>
    <w:p>
      <w:pPr>
        <w:numPr>
          <w:ilvl w:val="0"/>
          <w:numId w:val="4"/>
        </w:numPr>
        <w:spacing w:line="360" w:lineRule="auto"/>
        <w:ind w:firstLine="480" w:firstLineChars="200"/>
        <w:rPr>
          <w:sz w:val="24"/>
        </w:rPr>
      </w:pPr>
      <w:r>
        <w:rPr>
          <w:sz w:val="24"/>
        </w:rPr>
        <w:t>南部边坡：未来边坡高度</w:t>
      </w:r>
      <w:r>
        <w:rPr>
          <w:rFonts w:hint="eastAsia"/>
          <w:sz w:val="24"/>
        </w:rPr>
        <w:t>**</w:t>
      </w:r>
      <w:r>
        <w:rPr>
          <w:sz w:val="24"/>
        </w:rPr>
        <w:t>-</w:t>
      </w:r>
      <w:r>
        <w:rPr>
          <w:rFonts w:hint="eastAsia"/>
          <w:sz w:val="24"/>
        </w:rPr>
        <w:t>**</w:t>
      </w:r>
      <w:r>
        <w:rPr>
          <w:sz w:val="24"/>
        </w:rPr>
        <w:t>m，最终边坡角</w:t>
      </w:r>
      <w:r>
        <w:rPr>
          <w:rFonts w:hint="eastAsia"/>
          <w:sz w:val="24"/>
        </w:rPr>
        <w:t>**</w:t>
      </w:r>
      <w:r>
        <w:rPr>
          <w:sz w:val="24"/>
        </w:rPr>
        <w:t>°，台阶角</w:t>
      </w:r>
      <w:r>
        <w:rPr>
          <w:rFonts w:hint="eastAsia"/>
          <w:sz w:val="24"/>
        </w:rPr>
        <w:t>**</w:t>
      </w:r>
      <w:r>
        <w:rPr>
          <w:sz w:val="24"/>
        </w:rPr>
        <w:t>°，坡体浅表为第四系残坡积层和全风化层，厚度</w:t>
      </w:r>
      <w:r>
        <w:rPr>
          <w:rFonts w:hint="eastAsia"/>
          <w:sz w:val="24"/>
        </w:rPr>
        <w:t>*</w:t>
      </w:r>
      <w:r>
        <w:rPr>
          <w:sz w:val="24"/>
        </w:rPr>
        <w:t>-</w:t>
      </w:r>
      <w:r>
        <w:rPr>
          <w:rFonts w:hint="eastAsia"/>
          <w:sz w:val="24"/>
        </w:rPr>
        <w:t>**</w:t>
      </w:r>
      <w:r>
        <w:rPr>
          <w:sz w:val="24"/>
        </w:rPr>
        <w:t>m，切坡后受降雨因素影响存在引发浅表小型土质崩塌的可能性低；节理裂隙多与坡向相反或斜交，产状与裂隙组合线倾向坡内，倾角大于自然坡度角，小于切坡坡角，其结构组合线反倾，为有利组合。切割楔形体较稳定；裂隙间多为方解石充填，其结构组合多利于边坡稳定，仅局部地段多组裂隙相交导致边坡较为稳定；主要是需注意上部高陡部位，切坡时不能完全按照逆作法及时进行支挡，暴露时间较长，坡顶卸荷裂隙较发育，进行正确操作，发生小型崩塌、滑坡的可能性小。</w:t>
      </w:r>
    </w:p>
    <w:p>
      <w:pPr>
        <w:numPr>
          <w:ilvl w:val="0"/>
          <w:numId w:val="4"/>
        </w:numPr>
        <w:spacing w:line="360" w:lineRule="auto"/>
        <w:ind w:firstLine="480" w:firstLineChars="200"/>
        <w:rPr>
          <w:sz w:val="24"/>
        </w:rPr>
      </w:pPr>
      <w:r>
        <w:rPr>
          <w:sz w:val="24"/>
        </w:rPr>
        <w:t>东南</w:t>
      </w:r>
      <w:r>
        <w:rPr>
          <w:rFonts w:hint="eastAsia"/>
          <w:sz w:val="24"/>
        </w:rPr>
        <w:t>侧</w:t>
      </w:r>
      <w:r>
        <w:rPr>
          <w:sz w:val="24"/>
        </w:rPr>
        <w:t>边坡，现阶段是土质边坡，未来边坡高度</w:t>
      </w:r>
      <w:r>
        <w:rPr>
          <w:rFonts w:hint="eastAsia"/>
          <w:sz w:val="24"/>
        </w:rPr>
        <w:t>**</w:t>
      </w:r>
      <w:r>
        <w:rPr>
          <w:sz w:val="24"/>
        </w:rPr>
        <w:t>-</w:t>
      </w:r>
      <w:r>
        <w:rPr>
          <w:rFonts w:hint="eastAsia"/>
          <w:sz w:val="24"/>
        </w:rPr>
        <w:t>**</w:t>
      </w:r>
      <w:r>
        <w:rPr>
          <w:sz w:val="24"/>
        </w:rPr>
        <w:t>m</w:t>
      </w:r>
      <w:r>
        <w:rPr>
          <w:rFonts w:hint="eastAsia"/>
          <w:sz w:val="24"/>
        </w:rPr>
        <w:t>，</w:t>
      </w:r>
      <w:r>
        <w:rPr>
          <w:sz w:val="24"/>
        </w:rPr>
        <w:t>按照现在的条件来分析，存在发生滑坡的可能性。现矿山进行削坡除险工作，削坡完成以后，种植草籽进行复绿工作，</w:t>
      </w:r>
      <w:r>
        <w:rPr>
          <w:rFonts w:hint="eastAsia"/>
          <w:sz w:val="24"/>
        </w:rPr>
        <w:t>下部拟建浆砌石挡墙，</w:t>
      </w:r>
      <w:r>
        <w:rPr>
          <w:sz w:val="24"/>
        </w:rPr>
        <w:t>其发生小型崩塌、滑坡的可能性小，危险小。</w:t>
      </w:r>
    </w:p>
    <w:p>
      <w:pPr>
        <w:tabs>
          <w:tab w:val="left" w:pos="675"/>
        </w:tabs>
        <w:spacing w:line="360" w:lineRule="auto"/>
        <w:ind w:firstLine="420"/>
        <w:rPr>
          <w:sz w:val="24"/>
        </w:rPr>
      </w:pPr>
      <w:r>
        <w:rPr>
          <w:sz w:val="24"/>
        </w:rPr>
        <w:t>（2）引发泥石流地质灾害预测分析</w:t>
      </w:r>
    </w:p>
    <w:p>
      <w:pPr>
        <w:tabs>
          <w:tab w:val="left" w:pos="675"/>
        </w:tabs>
        <w:spacing w:line="360" w:lineRule="auto"/>
        <w:ind w:firstLine="420"/>
        <w:rPr>
          <w:sz w:val="24"/>
        </w:rPr>
      </w:pPr>
      <w:r>
        <w:rPr>
          <w:sz w:val="24"/>
        </w:rPr>
        <w:t>现状条件下无泥石流发生，根据《开发利用方案》，矿山平均剥采比为</w:t>
      </w:r>
      <w:r>
        <w:rPr>
          <w:rFonts w:hint="eastAsia"/>
          <w:sz w:val="24"/>
        </w:rPr>
        <w:t>***</w:t>
      </w:r>
      <w:r>
        <w:rPr>
          <w:sz w:val="24"/>
        </w:rPr>
        <w:t>:</w:t>
      </w:r>
      <w:r>
        <w:rPr>
          <w:rFonts w:hint="eastAsia"/>
          <w:sz w:val="24"/>
        </w:rPr>
        <w:t>*</w:t>
      </w:r>
      <w:r>
        <w:rPr>
          <w:sz w:val="24"/>
        </w:rPr>
        <w:t>，范围内剥离土石总量约</w:t>
      </w:r>
      <w:r>
        <w:rPr>
          <w:rFonts w:hint="eastAsia"/>
          <w:sz w:val="24"/>
        </w:rPr>
        <w:t>****</w:t>
      </w:r>
      <w:r>
        <w:rPr>
          <w:sz w:val="24"/>
        </w:rPr>
        <w:t>万m³，矿山可采取顺序开采，后期剥离土石可用作公路路基材料</w:t>
      </w:r>
      <w:r>
        <w:rPr>
          <w:rFonts w:hint="eastAsia"/>
          <w:sz w:val="24"/>
        </w:rPr>
        <w:t>，无引发泥石流的物源条件，且矿区无大面积汇水区及不良地形条件，其</w:t>
      </w:r>
      <w:r>
        <w:rPr>
          <w:sz w:val="24"/>
        </w:rPr>
        <w:t>引发泥石流地质灾害可能性小，危险性小。</w:t>
      </w:r>
    </w:p>
    <w:p>
      <w:pPr>
        <w:tabs>
          <w:tab w:val="left" w:pos="675"/>
        </w:tabs>
        <w:spacing w:line="360" w:lineRule="auto"/>
        <w:ind w:firstLine="420"/>
        <w:rPr>
          <w:sz w:val="24"/>
        </w:rPr>
      </w:pPr>
      <w:r>
        <w:rPr>
          <w:sz w:val="24"/>
        </w:rPr>
        <w:t>（3）引发地面塌陷地质灾害的预测评估</w:t>
      </w:r>
    </w:p>
    <w:p>
      <w:pPr>
        <w:tabs>
          <w:tab w:val="left" w:pos="675"/>
        </w:tabs>
        <w:spacing w:line="360" w:lineRule="auto"/>
        <w:ind w:firstLine="420"/>
        <w:rPr>
          <w:sz w:val="24"/>
        </w:rPr>
      </w:pPr>
      <w:r>
        <w:rPr>
          <w:sz w:val="24"/>
        </w:rPr>
        <w:t>评估区范围分布角闪石黑云母花岗闪长岩，岩溶不发育，引发岩溶地面塌塌陷地质灾害的可能性小，危险性小。</w:t>
      </w:r>
    </w:p>
    <w:p>
      <w:pPr>
        <w:tabs>
          <w:tab w:val="left" w:pos="675"/>
        </w:tabs>
        <w:spacing w:line="360" w:lineRule="auto"/>
        <w:ind w:firstLine="420"/>
      </w:pPr>
      <w:r>
        <w:rPr>
          <w:sz w:val="24"/>
        </w:rPr>
        <w:t>矿区无地下开采历史，因地下采空区引发地面塌塌陷地质灾害的可能性小，危险性小。</w:t>
      </w:r>
    </w:p>
    <w:p>
      <w:pPr>
        <w:spacing w:line="360" w:lineRule="auto"/>
        <w:ind w:firstLine="480" w:firstLineChars="200"/>
        <w:rPr>
          <w:sz w:val="24"/>
        </w:rPr>
      </w:pPr>
      <w:r>
        <w:rPr>
          <w:sz w:val="24"/>
        </w:rPr>
        <w:t>2、矿山建设可能遭受地质灾害预测分析</w:t>
      </w:r>
    </w:p>
    <w:p>
      <w:pPr>
        <w:spacing w:line="360" w:lineRule="auto"/>
        <w:ind w:firstLine="480" w:firstLineChars="200"/>
        <w:rPr>
          <w:sz w:val="24"/>
        </w:rPr>
      </w:pPr>
      <w:r>
        <w:rPr>
          <w:sz w:val="24"/>
        </w:rPr>
        <w:t>（1）矿山建设遭受崩塌、滑坡及泥石流地质灾害预测分析</w:t>
      </w:r>
    </w:p>
    <w:p>
      <w:pPr>
        <w:spacing w:line="360" w:lineRule="auto"/>
        <w:ind w:firstLine="480" w:firstLineChars="200"/>
        <w:jc w:val="left"/>
        <w:rPr>
          <w:sz w:val="24"/>
        </w:rPr>
      </w:pPr>
      <w:r>
        <w:rPr>
          <w:rFonts w:hint="eastAsia"/>
          <w:sz w:val="24"/>
        </w:rPr>
        <w:t>现状条件下，</w:t>
      </w:r>
      <w:r>
        <w:rPr>
          <w:sz w:val="24"/>
        </w:rPr>
        <w:t>评估区内未曾</w:t>
      </w:r>
      <w:r>
        <w:rPr>
          <w:rFonts w:hint="eastAsia"/>
          <w:sz w:val="24"/>
        </w:rPr>
        <w:t>发生</w:t>
      </w:r>
      <w:r>
        <w:rPr>
          <w:sz w:val="24"/>
        </w:rPr>
        <w:t>崩塌、滑坡</w:t>
      </w:r>
      <w:r>
        <w:rPr>
          <w:rFonts w:hint="eastAsia"/>
          <w:sz w:val="24"/>
        </w:rPr>
        <w:t>地质灾害，</w:t>
      </w:r>
      <w:r>
        <w:rPr>
          <w:sz w:val="24"/>
        </w:rPr>
        <w:t>预测评估，矿业活动</w:t>
      </w:r>
      <w:r>
        <w:rPr>
          <w:rFonts w:hint="eastAsia"/>
          <w:sz w:val="24"/>
        </w:rPr>
        <w:t>引发</w:t>
      </w:r>
      <w:r>
        <w:rPr>
          <w:sz w:val="24"/>
        </w:rPr>
        <w:t>崩塌、滑坡地质灾害的可能性</w:t>
      </w:r>
      <w:r>
        <w:rPr>
          <w:rFonts w:hint="eastAsia"/>
          <w:sz w:val="24"/>
        </w:rPr>
        <w:t>小</w:t>
      </w:r>
      <w:r>
        <w:rPr>
          <w:sz w:val="24"/>
        </w:rPr>
        <w:t>，危险性</w:t>
      </w:r>
      <w:r>
        <w:rPr>
          <w:rFonts w:hint="eastAsia"/>
          <w:sz w:val="24"/>
        </w:rPr>
        <w:t>小，</w:t>
      </w:r>
      <w:r>
        <w:rPr>
          <w:sz w:val="24"/>
        </w:rPr>
        <w:t>预测分析</w:t>
      </w:r>
      <w:r>
        <w:rPr>
          <w:rFonts w:hint="eastAsia"/>
          <w:sz w:val="24"/>
        </w:rPr>
        <w:t>，</w:t>
      </w:r>
      <w:r>
        <w:rPr>
          <w:sz w:val="24"/>
        </w:rPr>
        <w:t>矿业活动</w:t>
      </w:r>
      <w:r>
        <w:rPr>
          <w:rFonts w:hint="eastAsia"/>
          <w:sz w:val="24"/>
        </w:rPr>
        <w:t>遭受</w:t>
      </w:r>
      <w:r>
        <w:rPr>
          <w:sz w:val="24"/>
        </w:rPr>
        <w:t>崩塌、滑坡地质灾害的可能性</w:t>
      </w:r>
      <w:r>
        <w:rPr>
          <w:rFonts w:hint="eastAsia"/>
          <w:sz w:val="24"/>
        </w:rPr>
        <w:t>小</w:t>
      </w:r>
      <w:r>
        <w:rPr>
          <w:sz w:val="24"/>
        </w:rPr>
        <w:t>，危险性</w:t>
      </w:r>
      <w:r>
        <w:rPr>
          <w:rFonts w:hint="eastAsia"/>
          <w:sz w:val="24"/>
        </w:rPr>
        <w:t>小</w:t>
      </w:r>
      <w:r>
        <w:rPr>
          <w:sz w:val="24"/>
        </w:rPr>
        <w:t>。</w:t>
      </w:r>
    </w:p>
    <w:p>
      <w:pPr>
        <w:spacing w:line="360" w:lineRule="auto"/>
        <w:ind w:firstLine="480" w:firstLineChars="200"/>
        <w:jc w:val="left"/>
        <w:rPr>
          <w:sz w:val="24"/>
        </w:rPr>
      </w:pPr>
      <w:bookmarkStart w:id="52" w:name="OLE_LINK8"/>
      <w:bookmarkStart w:id="53" w:name="OLE_LINK7"/>
      <w:r>
        <w:rPr>
          <w:sz w:val="24"/>
        </w:rPr>
        <w:t>（2）矿山建设遭受泥（渣）石流预测分析</w:t>
      </w:r>
    </w:p>
    <w:bookmarkEnd w:id="52"/>
    <w:bookmarkEnd w:id="53"/>
    <w:p>
      <w:pPr>
        <w:spacing w:line="360" w:lineRule="auto"/>
        <w:ind w:firstLine="480" w:firstLineChars="200"/>
        <w:jc w:val="left"/>
        <w:rPr>
          <w:sz w:val="24"/>
        </w:rPr>
      </w:pPr>
      <w:r>
        <w:rPr>
          <w:sz w:val="24"/>
        </w:rPr>
        <w:t>现状条件下，评估区内未曾发现废(泥)石流现象。未来随着矿业活动范围的扩大与加剧，废石、剥离土方量将有所增加，但是在按设计要求开采下，</w:t>
      </w:r>
      <w:r>
        <w:rPr>
          <w:rFonts w:hint="eastAsia"/>
          <w:sz w:val="24"/>
        </w:rPr>
        <w:t>无引发泥石流的物源条件，且矿区无大面积汇水区及不良地形条件，</w:t>
      </w:r>
      <w:r>
        <w:rPr>
          <w:sz w:val="24"/>
        </w:rPr>
        <w:t>预测分析</w:t>
      </w:r>
      <w:r>
        <w:rPr>
          <w:rFonts w:hint="eastAsia"/>
          <w:sz w:val="24"/>
        </w:rPr>
        <w:t>，</w:t>
      </w:r>
      <w:r>
        <w:rPr>
          <w:sz w:val="24"/>
        </w:rPr>
        <w:t>矿业活动可能遭受废(泥)石流地质灾害可能性小，危险性小。</w:t>
      </w:r>
    </w:p>
    <w:p>
      <w:pPr>
        <w:spacing w:line="360" w:lineRule="auto"/>
        <w:ind w:firstLine="480" w:firstLineChars="200"/>
        <w:jc w:val="left"/>
        <w:rPr>
          <w:sz w:val="24"/>
        </w:rPr>
      </w:pPr>
      <w:r>
        <w:rPr>
          <w:sz w:val="24"/>
        </w:rPr>
        <w:t>（3）矿山建设遭受地面塌陷预测分析</w:t>
      </w:r>
    </w:p>
    <w:p>
      <w:pPr>
        <w:spacing w:line="360" w:lineRule="auto"/>
        <w:ind w:firstLine="480" w:firstLineChars="200"/>
        <w:jc w:val="left"/>
        <w:rPr>
          <w:sz w:val="24"/>
        </w:rPr>
      </w:pPr>
      <w:r>
        <w:rPr>
          <w:sz w:val="24"/>
        </w:rPr>
        <w:t>现状条件，评估区范围未发现岩溶地面塌陷、采空区地面塌陷等现象;预测</w:t>
      </w:r>
      <w:r>
        <w:rPr>
          <w:rFonts w:hint="eastAsia"/>
          <w:sz w:val="24"/>
        </w:rPr>
        <w:t>评估</w:t>
      </w:r>
      <w:r>
        <w:rPr>
          <w:sz w:val="24"/>
        </w:rPr>
        <w:t>矿山的矿业活动引发岩溶地面塌陷可能性小，危险性小;采空区地面塌陷等地质灾害的可能性小</w:t>
      </w:r>
      <w:r>
        <w:rPr>
          <w:rFonts w:hint="eastAsia"/>
          <w:sz w:val="24"/>
        </w:rPr>
        <w:t>、</w:t>
      </w:r>
      <w:r>
        <w:rPr>
          <w:sz w:val="24"/>
        </w:rPr>
        <w:t>危险性小。因此未来的矿业活动遭受岩溶地面塌陷等地质灾害的可能性小危险性小，遭受采空区地面塌陷等地质灾害的可能性小。</w:t>
      </w:r>
    </w:p>
    <w:p>
      <w:pPr>
        <w:pStyle w:val="5"/>
        <w:spacing w:before="0" w:after="0" w:line="360" w:lineRule="auto"/>
        <w:jc w:val="left"/>
        <w:rPr>
          <w:b w:val="0"/>
          <w:bCs w:val="0"/>
          <w:kern w:val="0"/>
          <w:sz w:val="24"/>
          <w:szCs w:val="24"/>
        </w:rPr>
      </w:pPr>
      <w:r>
        <w:rPr>
          <w:b w:val="0"/>
          <w:bCs w:val="0"/>
          <w:kern w:val="0"/>
          <w:sz w:val="24"/>
          <w:szCs w:val="24"/>
        </w:rPr>
        <w:t>（三）矿山地质灾害影响小结</w:t>
      </w:r>
    </w:p>
    <w:p>
      <w:pPr>
        <w:spacing w:line="360" w:lineRule="auto"/>
        <w:ind w:firstLine="480" w:firstLineChars="200"/>
        <w:rPr>
          <w:sz w:val="24"/>
        </w:rPr>
      </w:pPr>
      <w:r>
        <w:rPr>
          <w:sz w:val="24"/>
        </w:rPr>
        <w:t>综合前述，现状矿山无地质灾害发生；预测未来矿山开采引发和遭受崩塌、滑坡地质灾害可能性低，不会影响下方作业工人生命及财产安全，危险性低；而未来开采引发和遭受其它地质灾害的可能性小，危险性小</w:t>
      </w:r>
      <w:r>
        <w:rPr>
          <w:rFonts w:hint="eastAsia"/>
          <w:sz w:val="24"/>
        </w:rPr>
        <w:t>（表3-4）</w:t>
      </w:r>
      <w:r>
        <w:rPr>
          <w:sz w:val="24"/>
        </w:rPr>
        <w:t>。</w:t>
      </w:r>
    </w:p>
    <w:p>
      <w:pPr>
        <w:spacing w:line="360" w:lineRule="auto"/>
        <w:ind w:firstLine="480" w:firstLineChars="200"/>
        <w:jc w:val="center"/>
        <w:rPr>
          <w:sz w:val="24"/>
        </w:rPr>
      </w:pPr>
      <w:r>
        <w:rPr>
          <w:sz w:val="24"/>
        </w:rPr>
        <w:t>表3-</w:t>
      </w:r>
      <w:r>
        <w:rPr>
          <w:rFonts w:hint="eastAsia"/>
          <w:sz w:val="24"/>
        </w:rPr>
        <w:t>4</w:t>
      </w:r>
      <w:r>
        <w:rPr>
          <w:sz w:val="24"/>
        </w:rPr>
        <w:t xml:space="preserve"> 矿山地质灾害现状及预测分析结果表</w:t>
      </w:r>
    </w:p>
    <w:tbl>
      <w:tblPr>
        <w:tblStyle w:val="3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271"/>
        <w:gridCol w:w="1013"/>
        <w:gridCol w:w="1423"/>
        <w:gridCol w:w="993"/>
        <w:gridCol w:w="1135"/>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80" w:type="dxa"/>
            <w:vMerge w:val="restart"/>
            <w:vAlign w:val="center"/>
          </w:tcPr>
          <w:p>
            <w:pPr>
              <w:jc w:val="center"/>
              <w:rPr>
                <w:kern w:val="0"/>
                <w:sz w:val="20"/>
                <w:szCs w:val="21"/>
              </w:rPr>
            </w:pPr>
            <w:r>
              <w:rPr>
                <w:kern w:val="0"/>
                <w:sz w:val="20"/>
                <w:szCs w:val="21"/>
              </w:rPr>
              <w:t>地质灾害类型</w:t>
            </w:r>
          </w:p>
        </w:tc>
        <w:tc>
          <w:tcPr>
            <w:tcW w:w="3707" w:type="dxa"/>
            <w:gridSpan w:val="3"/>
            <w:vAlign w:val="center"/>
          </w:tcPr>
          <w:p>
            <w:pPr>
              <w:jc w:val="center"/>
              <w:rPr>
                <w:kern w:val="0"/>
                <w:sz w:val="20"/>
                <w:szCs w:val="21"/>
              </w:rPr>
            </w:pPr>
            <w:r>
              <w:rPr>
                <w:kern w:val="0"/>
                <w:sz w:val="20"/>
                <w:szCs w:val="21"/>
              </w:rPr>
              <w:t>矿山地质灾害现状</w:t>
            </w:r>
          </w:p>
        </w:tc>
        <w:tc>
          <w:tcPr>
            <w:tcW w:w="3686" w:type="dxa"/>
            <w:gridSpan w:val="3"/>
            <w:vAlign w:val="center"/>
          </w:tcPr>
          <w:p>
            <w:pPr>
              <w:jc w:val="center"/>
              <w:rPr>
                <w:kern w:val="0"/>
                <w:sz w:val="20"/>
                <w:szCs w:val="21"/>
              </w:rPr>
            </w:pPr>
            <w:r>
              <w:rPr>
                <w:kern w:val="0"/>
                <w:sz w:val="20"/>
                <w:szCs w:val="21"/>
              </w:rPr>
              <w:t>开采期预测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80" w:type="dxa"/>
            <w:vMerge w:val="continue"/>
            <w:vAlign w:val="center"/>
          </w:tcPr>
          <w:p>
            <w:pPr>
              <w:keepNext/>
              <w:keepLines/>
              <w:spacing w:before="340" w:after="330" w:line="578" w:lineRule="auto"/>
              <w:jc w:val="center"/>
              <w:outlineLvl w:val="0"/>
              <w:rPr>
                <w:kern w:val="0"/>
                <w:sz w:val="20"/>
                <w:szCs w:val="21"/>
              </w:rPr>
            </w:pPr>
          </w:p>
        </w:tc>
        <w:tc>
          <w:tcPr>
            <w:tcW w:w="1271" w:type="dxa"/>
            <w:vAlign w:val="center"/>
          </w:tcPr>
          <w:p>
            <w:pPr>
              <w:jc w:val="center"/>
              <w:rPr>
                <w:kern w:val="0"/>
                <w:sz w:val="20"/>
                <w:szCs w:val="21"/>
              </w:rPr>
            </w:pPr>
            <w:r>
              <w:rPr>
                <w:kern w:val="0"/>
                <w:sz w:val="20"/>
                <w:szCs w:val="21"/>
              </w:rPr>
              <w:t>是否发生地质灾害</w:t>
            </w:r>
          </w:p>
        </w:tc>
        <w:tc>
          <w:tcPr>
            <w:tcW w:w="1013" w:type="dxa"/>
            <w:vAlign w:val="center"/>
          </w:tcPr>
          <w:p>
            <w:pPr>
              <w:jc w:val="center"/>
              <w:rPr>
                <w:kern w:val="0"/>
                <w:sz w:val="20"/>
                <w:szCs w:val="21"/>
              </w:rPr>
            </w:pPr>
            <w:r>
              <w:rPr>
                <w:kern w:val="0"/>
                <w:sz w:val="20"/>
                <w:szCs w:val="21"/>
              </w:rPr>
              <w:t>危险性</w:t>
            </w:r>
          </w:p>
        </w:tc>
        <w:tc>
          <w:tcPr>
            <w:tcW w:w="1423" w:type="dxa"/>
            <w:vAlign w:val="center"/>
          </w:tcPr>
          <w:p>
            <w:pPr>
              <w:jc w:val="center"/>
              <w:rPr>
                <w:kern w:val="0"/>
                <w:sz w:val="20"/>
                <w:szCs w:val="21"/>
              </w:rPr>
            </w:pPr>
            <w:r>
              <w:rPr>
                <w:kern w:val="0"/>
                <w:sz w:val="20"/>
                <w:szCs w:val="21"/>
              </w:rPr>
              <w:t>影响对象</w:t>
            </w:r>
          </w:p>
        </w:tc>
        <w:tc>
          <w:tcPr>
            <w:tcW w:w="993" w:type="dxa"/>
            <w:vAlign w:val="center"/>
          </w:tcPr>
          <w:p>
            <w:pPr>
              <w:jc w:val="center"/>
              <w:rPr>
                <w:kern w:val="0"/>
                <w:sz w:val="20"/>
                <w:szCs w:val="21"/>
              </w:rPr>
            </w:pPr>
            <w:r>
              <w:rPr>
                <w:kern w:val="0"/>
                <w:sz w:val="20"/>
                <w:szCs w:val="21"/>
              </w:rPr>
              <w:t>可能性</w:t>
            </w:r>
          </w:p>
        </w:tc>
        <w:tc>
          <w:tcPr>
            <w:tcW w:w="1135" w:type="dxa"/>
            <w:vAlign w:val="center"/>
          </w:tcPr>
          <w:p>
            <w:pPr>
              <w:jc w:val="center"/>
              <w:rPr>
                <w:kern w:val="0"/>
                <w:sz w:val="20"/>
                <w:szCs w:val="21"/>
              </w:rPr>
            </w:pPr>
            <w:r>
              <w:rPr>
                <w:kern w:val="0"/>
                <w:sz w:val="20"/>
                <w:szCs w:val="21"/>
              </w:rPr>
              <w:t>危险性</w:t>
            </w:r>
          </w:p>
        </w:tc>
        <w:tc>
          <w:tcPr>
            <w:tcW w:w="1558" w:type="dxa"/>
            <w:vAlign w:val="center"/>
          </w:tcPr>
          <w:p>
            <w:pPr>
              <w:jc w:val="center"/>
              <w:rPr>
                <w:kern w:val="0"/>
                <w:sz w:val="20"/>
                <w:szCs w:val="21"/>
              </w:rPr>
            </w:pPr>
            <w:r>
              <w:rPr>
                <w:kern w:val="0"/>
                <w:sz w:val="20"/>
                <w:szCs w:val="21"/>
              </w:rPr>
              <w:t>影响对象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680" w:type="dxa"/>
            <w:vAlign w:val="center"/>
          </w:tcPr>
          <w:p>
            <w:pPr>
              <w:jc w:val="center"/>
              <w:rPr>
                <w:kern w:val="0"/>
                <w:sz w:val="20"/>
                <w:szCs w:val="21"/>
              </w:rPr>
            </w:pPr>
            <w:r>
              <w:rPr>
                <w:kern w:val="0"/>
                <w:sz w:val="20"/>
                <w:szCs w:val="21"/>
              </w:rPr>
              <w:t>露采场崩塌、滑坡</w:t>
            </w:r>
          </w:p>
        </w:tc>
        <w:tc>
          <w:tcPr>
            <w:tcW w:w="1271" w:type="dxa"/>
            <w:vAlign w:val="center"/>
          </w:tcPr>
          <w:p>
            <w:pPr>
              <w:jc w:val="center"/>
              <w:rPr>
                <w:kern w:val="0"/>
                <w:sz w:val="20"/>
                <w:szCs w:val="21"/>
              </w:rPr>
            </w:pPr>
            <w:r>
              <w:rPr>
                <w:kern w:val="0"/>
                <w:sz w:val="20"/>
                <w:szCs w:val="21"/>
              </w:rPr>
              <w:t>否</w:t>
            </w:r>
          </w:p>
        </w:tc>
        <w:tc>
          <w:tcPr>
            <w:tcW w:w="1013" w:type="dxa"/>
            <w:vAlign w:val="center"/>
          </w:tcPr>
          <w:p>
            <w:pPr>
              <w:jc w:val="center"/>
              <w:rPr>
                <w:kern w:val="0"/>
                <w:sz w:val="20"/>
                <w:szCs w:val="21"/>
              </w:rPr>
            </w:pPr>
            <w:r>
              <w:rPr>
                <w:kern w:val="0"/>
                <w:sz w:val="20"/>
                <w:szCs w:val="21"/>
              </w:rPr>
              <w:t>小</w:t>
            </w:r>
          </w:p>
        </w:tc>
        <w:tc>
          <w:tcPr>
            <w:tcW w:w="1423" w:type="dxa"/>
            <w:vAlign w:val="center"/>
          </w:tcPr>
          <w:p>
            <w:pPr>
              <w:jc w:val="center"/>
              <w:rPr>
                <w:kern w:val="0"/>
                <w:sz w:val="20"/>
                <w:szCs w:val="21"/>
              </w:rPr>
            </w:pPr>
            <w:r>
              <w:rPr>
                <w:kern w:val="0"/>
                <w:sz w:val="20"/>
                <w:szCs w:val="21"/>
              </w:rPr>
              <w:t>作业职工和机械设备</w:t>
            </w:r>
          </w:p>
        </w:tc>
        <w:tc>
          <w:tcPr>
            <w:tcW w:w="993" w:type="dxa"/>
            <w:vAlign w:val="center"/>
          </w:tcPr>
          <w:p>
            <w:pPr>
              <w:jc w:val="center"/>
              <w:rPr>
                <w:kern w:val="0"/>
                <w:sz w:val="20"/>
                <w:szCs w:val="21"/>
              </w:rPr>
            </w:pPr>
            <w:r>
              <w:rPr>
                <w:rFonts w:hint="eastAsia"/>
                <w:kern w:val="0"/>
                <w:sz w:val="20"/>
                <w:szCs w:val="21"/>
              </w:rPr>
              <w:t>小</w:t>
            </w:r>
          </w:p>
        </w:tc>
        <w:tc>
          <w:tcPr>
            <w:tcW w:w="1135" w:type="dxa"/>
            <w:vAlign w:val="center"/>
          </w:tcPr>
          <w:p>
            <w:pPr>
              <w:jc w:val="center"/>
              <w:rPr>
                <w:kern w:val="0"/>
                <w:sz w:val="20"/>
                <w:szCs w:val="21"/>
              </w:rPr>
            </w:pPr>
            <w:r>
              <w:rPr>
                <w:rFonts w:hint="eastAsia"/>
                <w:kern w:val="0"/>
                <w:sz w:val="20"/>
                <w:szCs w:val="21"/>
              </w:rPr>
              <w:t>小</w:t>
            </w:r>
          </w:p>
        </w:tc>
        <w:tc>
          <w:tcPr>
            <w:tcW w:w="1558" w:type="dxa"/>
            <w:vAlign w:val="center"/>
          </w:tcPr>
          <w:p>
            <w:pPr>
              <w:jc w:val="center"/>
              <w:rPr>
                <w:kern w:val="0"/>
                <w:sz w:val="20"/>
                <w:szCs w:val="21"/>
              </w:rPr>
            </w:pPr>
            <w:r>
              <w:rPr>
                <w:kern w:val="0"/>
                <w:sz w:val="20"/>
                <w:szCs w:val="21"/>
              </w:rPr>
              <w:t>矿山职工、矿部建筑、林地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0" w:type="dxa"/>
            <w:vAlign w:val="center"/>
          </w:tcPr>
          <w:p>
            <w:pPr>
              <w:jc w:val="center"/>
              <w:rPr>
                <w:kern w:val="0"/>
                <w:sz w:val="20"/>
                <w:szCs w:val="21"/>
              </w:rPr>
            </w:pPr>
            <w:r>
              <w:rPr>
                <w:kern w:val="0"/>
                <w:sz w:val="20"/>
                <w:szCs w:val="21"/>
              </w:rPr>
              <w:t>岩溶地面塌陷</w:t>
            </w:r>
          </w:p>
        </w:tc>
        <w:tc>
          <w:tcPr>
            <w:tcW w:w="1271" w:type="dxa"/>
            <w:vAlign w:val="center"/>
          </w:tcPr>
          <w:p>
            <w:pPr>
              <w:jc w:val="center"/>
              <w:rPr>
                <w:kern w:val="0"/>
                <w:sz w:val="20"/>
                <w:szCs w:val="21"/>
              </w:rPr>
            </w:pPr>
            <w:r>
              <w:rPr>
                <w:kern w:val="0"/>
                <w:sz w:val="20"/>
                <w:szCs w:val="21"/>
              </w:rPr>
              <w:t>否</w:t>
            </w:r>
          </w:p>
        </w:tc>
        <w:tc>
          <w:tcPr>
            <w:tcW w:w="1013" w:type="dxa"/>
            <w:vAlign w:val="center"/>
          </w:tcPr>
          <w:p>
            <w:pPr>
              <w:jc w:val="center"/>
              <w:rPr>
                <w:kern w:val="0"/>
                <w:sz w:val="20"/>
                <w:szCs w:val="21"/>
              </w:rPr>
            </w:pPr>
            <w:r>
              <w:rPr>
                <w:kern w:val="0"/>
                <w:sz w:val="20"/>
                <w:szCs w:val="21"/>
              </w:rPr>
              <w:t>无</w:t>
            </w:r>
          </w:p>
        </w:tc>
        <w:tc>
          <w:tcPr>
            <w:tcW w:w="1423" w:type="dxa"/>
            <w:vAlign w:val="center"/>
          </w:tcPr>
          <w:p>
            <w:pPr>
              <w:jc w:val="center"/>
              <w:rPr>
                <w:kern w:val="0"/>
                <w:sz w:val="20"/>
                <w:szCs w:val="21"/>
              </w:rPr>
            </w:pPr>
            <w:r>
              <w:rPr>
                <w:kern w:val="0"/>
                <w:sz w:val="20"/>
                <w:szCs w:val="21"/>
              </w:rPr>
              <w:t>无</w:t>
            </w:r>
          </w:p>
        </w:tc>
        <w:tc>
          <w:tcPr>
            <w:tcW w:w="993" w:type="dxa"/>
            <w:vAlign w:val="center"/>
          </w:tcPr>
          <w:p>
            <w:pPr>
              <w:jc w:val="center"/>
              <w:rPr>
                <w:kern w:val="0"/>
                <w:sz w:val="20"/>
                <w:szCs w:val="21"/>
              </w:rPr>
            </w:pPr>
            <w:r>
              <w:rPr>
                <w:kern w:val="0"/>
                <w:sz w:val="20"/>
                <w:szCs w:val="21"/>
              </w:rPr>
              <w:t>小</w:t>
            </w:r>
          </w:p>
        </w:tc>
        <w:tc>
          <w:tcPr>
            <w:tcW w:w="1135" w:type="dxa"/>
            <w:vAlign w:val="center"/>
          </w:tcPr>
          <w:p>
            <w:pPr>
              <w:jc w:val="center"/>
              <w:rPr>
                <w:kern w:val="0"/>
                <w:sz w:val="20"/>
                <w:szCs w:val="21"/>
              </w:rPr>
            </w:pPr>
            <w:r>
              <w:rPr>
                <w:kern w:val="0"/>
                <w:sz w:val="20"/>
                <w:szCs w:val="21"/>
              </w:rPr>
              <w:t>小</w:t>
            </w:r>
          </w:p>
        </w:tc>
        <w:tc>
          <w:tcPr>
            <w:tcW w:w="1558" w:type="dxa"/>
            <w:vAlign w:val="center"/>
          </w:tcPr>
          <w:p>
            <w:pPr>
              <w:jc w:val="center"/>
              <w:rPr>
                <w:kern w:val="0"/>
                <w:sz w:val="20"/>
                <w:szCs w:val="21"/>
              </w:rPr>
            </w:pPr>
            <w:r>
              <w:rPr>
                <w:kern w:val="0"/>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80" w:type="dxa"/>
            <w:vAlign w:val="center"/>
          </w:tcPr>
          <w:p>
            <w:pPr>
              <w:jc w:val="center"/>
              <w:rPr>
                <w:kern w:val="0"/>
                <w:sz w:val="20"/>
                <w:szCs w:val="21"/>
              </w:rPr>
            </w:pPr>
            <w:r>
              <w:rPr>
                <w:kern w:val="0"/>
                <w:sz w:val="20"/>
                <w:szCs w:val="21"/>
              </w:rPr>
              <w:t>采空区地面变形</w:t>
            </w:r>
          </w:p>
        </w:tc>
        <w:tc>
          <w:tcPr>
            <w:tcW w:w="1271" w:type="dxa"/>
            <w:vAlign w:val="center"/>
          </w:tcPr>
          <w:p>
            <w:pPr>
              <w:jc w:val="center"/>
              <w:rPr>
                <w:kern w:val="0"/>
                <w:sz w:val="20"/>
                <w:szCs w:val="21"/>
              </w:rPr>
            </w:pPr>
            <w:r>
              <w:rPr>
                <w:kern w:val="0"/>
                <w:sz w:val="20"/>
                <w:szCs w:val="21"/>
              </w:rPr>
              <w:t>否</w:t>
            </w:r>
          </w:p>
        </w:tc>
        <w:tc>
          <w:tcPr>
            <w:tcW w:w="1013" w:type="dxa"/>
            <w:vAlign w:val="center"/>
          </w:tcPr>
          <w:p>
            <w:pPr>
              <w:jc w:val="center"/>
              <w:rPr>
                <w:kern w:val="0"/>
                <w:sz w:val="20"/>
                <w:szCs w:val="21"/>
              </w:rPr>
            </w:pPr>
            <w:r>
              <w:rPr>
                <w:kern w:val="0"/>
                <w:sz w:val="20"/>
                <w:szCs w:val="21"/>
              </w:rPr>
              <w:t>无</w:t>
            </w:r>
          </w:p>
        </w:tc>
        <w:tc>
          <w:tcPr>
            <w:tcW w:w="1423" w:type="dxa"/>
            <w:vAlign w:val="center"/>
          </w:tcPr>
          <w:p>
            <w:pPr>
              <w:jc w:val="center"/>
              <w:rPr>
                <w:kern w:val="0"/>
                <w:sz w:val="20"/>
                <w:szCs w:val="21"/>
              </w:rPr>
            </w:pPr>
            <w:r>
              <w:rPr>
                <w:kern w:val="0"/>
                <w:sz w:val="20"/>
                <w:szCs w:val="21"/>
              </w:rPr>
              <w:t>无</w:t>
            </w:r>
          </w:p>
        </w:tc>
        <w:tc>
          <w:tcPr>
            <w:tcW w:w="993" w:type="dxa"/>
            <w:vAlign w:val="center"/>
          </w:tcPr>
          <w:p>
            <w:pPr>
              <w:jc w:val="center"/>
              <w:rPr>
                <w:kern w:val="0"/>
                <w:sz w:val="20"/>
                <w:szCs w:val="21"/>
              </w:rPr>
            </w:pPr>
            <w:r>
              <w:rPr>
                <w:kern w:val="0"/>
                <w:sz w:val="20"/>
                <w:szCs w:val="21"/>
              </w:rPr>
              <w:t>小</w:t>
            </w:r>
          </w:p>
        </w:tc>
        <w:tc>
          <w:tcPr>
            <w:tcW w:w="1135" w:type="dxa"/>
            <w:vAlign w:val="center"/>
          </w:tcPr>
          <w:p>
            <w:pPr>
              <w:jc w:val="center"/>
              <w:rPr>
                <w:kern w:val="0"/>
                <w:sz w:val="20"/>
                <w:szCs w:val="21"/>
              </w:rPr>
            </w:pPr>
            <w:r>
              <w:rPr>
                <w:kern w:val="0"/>
                <w:sz w:val="20"/>
                <w:szCs w:val="21"/>
              </w:rPr>
              <w:t>小</w:t>
            </w:r>
          </w:p>
        </w:tc>
        <w:tc>
          <w:tcPr>
            <w:tcW w:w="1558" w:type="dxa"/>
            <w:vAlign w:val="center"/>
          </w:tcPr>
          <w:p>
            <w:pPr>
              <w:jc w:val="center"/>
              <w:rPr>
                <w:kern w:val="0"/>
                <w:sz w:val="20"/>
                <w:szCs w:val="21"/>
              </w:rPr>
            </w:pPr>
            <w:r>
              <w:rPr>
                <w:kern w:val="0"/>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80" w:type="dxa"/>
            <w:vAlign w:val="center"/>
          </w:tcPr>
          <w:p>
            <w:pPr>
              <w:jc w:val="center"/>
              <w:rPr>
                <w:kern w:val="0"/>
                <w:sz w:val="20"/>
                <w:szCs w:val="21"/>
              </w:rPr>
            </w:pPr>
            <w:r>
              <w:rPr>
                <w:rFonts w:hint="eastAsia"/>
                <w:kern w:val="0"/>
                <w:sz w:val="20"/>
                <w:szCs w:val="21"/>
              </w:rPr>
              <w:t>泥石流</w:t>
            </w:r>
          </w:p>
        </w:tc>
        <w:tc>
          <w:tcPr>
            <w:tcW w:w="1271" w:type="dxa"/>
            <w:vAlign w:val="center"/>
          </w:tcPr>
          <w:p>
            <w:pPr>
              <w:jc w:val="center"/>
              <w:rPr>
                <w:kern w:val="0"/>
                <w:sz w:val="20"/>
                <w:szCs w:val="21"/>
              </w:rPr>
            </w:pPr>
            <w:r>
              <w:rPr>
                <w:kern w:val="0"/>
                <w:sz w:val="20"/>
                <w:szCs w:val="21"/>
              </w:rPr>
              <w:t>否</w:t>
            </w:r>
          </w:p>
        </w:tc>
        <w:tc>
          <w:tcPr>
            <w:tcW w:w="1013" w:type="dxa"/>
            <w:vAlign w:val="center"/>
          </w:tcPr>
          <w:p>
            <w:pPr>
              <w:jc w:val="center"/>
              <w:rPr>
                <w:kern w:val="0"/>
                <w:sz w:val="20"/>
                <w:szCs w:val="21"/>
              </w:rPr>
            </w:pPr>
            <w:r>
              <w:rPr>
                <w:kern w:val="0"/>
                <w:sz w:val="20"/>
                <w:szCs w:val="21"/>
              </w:rPr>
              <w:t>无</w:t>
            </w:r>
          </w:p>
        </w:tc>
        <w:tc>
          <w:tcPr>
            <w:tcW w:w="1423" w:type="dxa"/>
            <w:vAlign w:val="center"/>
          </w:tcPr>
          <w:p>
            <w:pPr>
              <w:jc w:val="center"/>
              <w:rPr>
                <w:kern w:val="0"/>
                <w:sz w:val="20"/>
                <w:szCs w:val="21"/>
              </w:rPr>
            </w:pPr>
            <w:r>
              <w:rPr>
                <w:kern w:val="0"/>
                <w:sz w:val="20"/>
                <w:szCs w:val="21"/>
              </w:rPr>
              <w:t>无</w:t>
            </w:r>
          </w:p>
        </w:tc>
        <w:tc>
          <w:tcPr>
            <w:tcW w:w="993" w:type="dxa"/>
            <w:vAlign w:val="center"/>
          </w:tcPr>
          <w:p>
            <w:pPr>
              <w:jc w:val="center"/>
              <w:rPr>
                <w:kern w:val="0"/>
                <w:sz w:val="20"/>
                <w:szCs w:val="21"/>
              </w:rPr>
            </w:pPr>
            <w:r>
              <w:rPr>
                <w:kern w:val="0"/>
                <w:sz w:val="20"/>
                <w:szCs w:val="21"/>
              </w:rPr>
              <w:t>小</w:t>
            </w:r>
          </w:p>
        </w:tc>
        <w:tc>
          <w:tcPr>
            <w:tcW w:w="1135" w:type="dxa"/>
            <w:vAlign w:val="center"/>
          </w:tcPr>
          <w:p>
            <w:pPr>
              <w:jc w:val="center"/>
              <w:rPr>
                <w:kern w:val="0"/>
                <w:sz w:val="20"/>
                <w:szCs w:val="21"/>
              </w:rPr>
            </w:pPr>
            <w:r>
              <w:rPr>
                <w:kern w:val="0"/>
                <w:sz w:val="20"/>
                <w:szCs w:val="21"/>
              </w:rPr>
              <w:t>小</w:t>
            </w:r>
          </w:p>
        </w:tc>
        <w:tc>
          <w:tcPr>
            <w:tcW w:w="1558" w:type="dxa"/>
            <w:vAlign w:val="center"/>
          </w:tcPr>
          <w:p>
            <w:pPr>
              <w:jc w:val="center"/>
              <w:rPr>
                <w:kern w:val="0"/>
                <w:sz w:val="20"/>
                <w:szCs w:val="21"/>
              </w:rPr>
            </w:pPr>
            <w:r>
              <w:rPr>
                <w:kern w:val="0"/>
                <w:sz w:val="20"/>
                <w:szCs w:val="21"/>
              </w:rPr>
              <w:t>无</w:t>
            </w:r>
          </w:p>
        </w:tc>
      </w:tr>
    </w:tbl>
    <w:p>
      <w:pPr>
        <w:pStyle w:val="2"/>
      </w:pPr>
    </w:p>
    <w:p>
      <w:pPr>
        <w:pStyle w:val="4"/>
        <w:spacing w:before="120" w:after="120" w:line="470" w:lineRule="exact"/>
        <w:jc w:val="left"/>
        <w:rPr>
          <w:rFonts w:ascii="Times New Roman" w:hAnsi="Times New Roman" w:eastAsia="宋体"/>
          <w:b w:val="0"/>
          <w:bCs w:val="0"/>
          <w:sz w:val="28"/>
        </w:rPr>
      </w:pPr>
      <w:bookmarkStart w:id="54" w:name="_Toc130937635"/>
      <w:r>
        <w:rPr>
          <w:rFonts w:ascii="Times New Roman" w:hAnsi="Times New Roman" w:eastAsia="宋体"/>
          <w:b w:val="0"/>
          <w:bCs w:val="0"/>
          <w:sz w:val="28"/>
        </w:rPr>
        <w:t>五、生物多样性破坏</w:t>
      </w:r>
      <w:bookmarkEnd w:id="54"/>
    </w:p>
    <w:p>
      <w:pPr>
        <w:pStyle w:val="5"/>
        <w:spacing w:before="0" w:after="0" w:line="360" w:lineRule="auto"/>
        <w:jc w:val="left"/>
        <w:rPr>
          <w:b w:val="0"/>
          <w:bCs w:val="0"/>
          <w:sz w:val="24"/>
          <w:szCs w:val="24"/>
        </w:rPr>
      </w:pPr>
      <w:r>
        <w:rPr>
          <w:b w:val="0"/>
          <w:bCs w:val="0"/>
          <w:sz w:val="24"/>
          <w:szCs w:val="24"/>
        </w:rPr>
        <w:t>（一）矿区及周边生态多样性破坏现状</w:t>
      </w:r>
    </w:p>
    <w:p>
      <w:pPr>
        <w:pStyle w:val="132"/>
        <w:ind w:firstLine="480"/>
        <w:rPr>
          <w:rFonts w:ascii="Times New Roman" w:hAnsi="Times New Roman"/>
          <w:sz w:val="24"/>
          <w:szCs w:val="24"/>
        </w:rPr>
      </w:pPr>
      <w:r>
        <w:rPr>
          <w:rFonts w:ascii="Times New Roman" w:hAnsi="Times New Roman"/>
          <w:sz w:val="24"/>
          <w:szCs w:val="24"/>
        </w:rPr>
        <w:t>1、矿区及周边植被破坏现状</w:t>
      </w:r>
    </w:p>
    <w:p>
      <w:pPr>
        <w:pStyle w:val="132"/>
        <w:ind w:firstLine="480"/>
        <w:rPr>
          <w:rFonts w:ascii="Times New Roman" w:hAnsi="Times New Roman"/>
          <w:sz w:val="24"/>
          <w:szCs w:val="24"/>
        </w:rPr>
      </w:pPr>
      <w:r>
        <w:rPr>
          <w:rFonts w:ascii="Times New Roman" w:hAnsi="Times New Roman"/>
          <w:sz w:val="24"/>
        </w:rPr>
        <w:t>本</w:t>
      </w:r>
      <w:r>
        <w:rPr>
          <w:rFonts w:ascii="Times New Roman" w:hAnsi="Times New Roman"/>
          <w:sz w:val="24"/>
          <w:szCs w:val="24"/>
        </w:rPr>
        <w:t>区内目前没有发现珍稀濒危保护植物及古树名木，破坏的林地</w:t>
      </w:r>
      <w:r>
        <w:rPr>
          <w:rFonts w:ascii="Times New Roman" w:hAnsi="Times New Roman"/>
          <w:sz w:val="24"/>
        </w:rPr>
        <w:t>植被以天然次生植被和人工林为主，</w:t>
      </w:r>
      <w:r>
        <w:rPr>
          <w:rFonts w:ascii="Times New Roman" w:hAnsi="Times New Roman"/>
          <w:sz w:val="24"/>
          <w:szCs w:val="24"/>
        </w:rPr>
        <w:t>优势种群均为南方较常见的林木，具有可恢复性，且恢复难度不大。而破坏的诸如水田、旱地等均受人类经济活动为主导，种群种类、数量均有季节性变化，且为人工种植，破坏后可恢复。</w:t>
      </w:r>
    </w:p>
    <w:p>
      <w:pPr>
        <w:pStyle w:val="132"/>
        <w:ind w:firstLine="480"/>
        <w:rPr>
          <w:rFonts w:ascii="Times New Roman" w:hAnsi="Times New Roman"/>
          <w:sz w:val="24"/>
        </w:rPr>
      </w:pPr>
      <w:r>
        <w:rPr>
          <w:rFonts w:ascii="Times New Roman" w:hAnsi="Times New Roman"/>
          <w:sz w:val="24"/>
        </w:rPr>
        <w:t>矿山地面生产设施建设时剥离了地表覆盖层，直接减少了生物量，降低了植被覆盖率，破坏了原有植物的生存环境，但由于矿山所在地没有珍稀动植物，影响的植被为常见种，区域分布广，矿山开发不会对矿区植物种群的年龄结构、空间分布格局、种群更新等产生根本性影响，更不会使现有植物群落的物种组成及其比例也发生改变，现矿山开采地面设施工程已建成，矿区及周边生态系统的功能和结构基本保持不变。</w:t>
      </w:r>
    </w:p>
    <w:p>
      <w:pPr>
        <w:pStyle w:val="132"/>
        <w:ind w:firstLine="480"/>
        <w:rPr>
          <w:rFonts w:ascii="Times New Roman" w:hAnsi="Times New Roman"/>
          <w:sz w:val="24"/>
        </w:rPr>
      </w:pPr>
      <w:r>
        <w:rPr>
          <w:rFonts w:ascii="Times New Roman" w:hAnsi="Times New Roman"/>
          <w:sz w:val="24"/>
        </w:rPr>
        <w:t>2、野生动物影响现状</w:t>
      </w:r>
    </w:p>
    <w:p>
      <w:pPr>
        <w:pStyle w:val="132"/>
        <w:ind w:firstLine="480"/>
        <w:rPr>
          <w:rFonts w:ascii="Times New Roman" w:hAnsi="Times New Roman"/>
          <w:sz w:val="24"/>
        </w:rPr>
      </w:pPr>
      <w:r>
        <w:rPr>
          <w:rFonts w:ascii="Times New Roman" w:hAnsi="Times New Roman"/>
          <w:sz w:val="24"/>
        </w:rPr>
        <w:t>由于受人类活动的影响，区域现有野生动物资源较为单一和匮乏，对于本矿区来说，有动物资源主要为</w:t>
      </w:r>
      <w:r>
        <w:rPr>
          <w:rFonts w:ascii="Times New Roman" w:hAnsi="Times New Roman"/>
          <w:sz w:val="24"/>
          <w:szCs w:val="24"/>
        </w:rPr>
        <w:t>鼠类、青蛙、壁虎、山雀、八哥、黄鼠狼</w:t>
      </w:r>
      <w:r>
        <w:rPr>
          <w:rFonts w:ascii="Times New Roman" w:hAnsi="Times New Roman"/>
          <w:sz w:val="24"/>
        </w:rPr>
        <w:t>等常见物种，未见珍稀动物。因此，矿山建设虽然破坏这些物种的生存条件，</w:t>
      </w:r>
      <w:r>
        <w:rPr>
          <w:rFonts w:ascii="Times New Roman" w:hAnsi="Times New Roman"/>
          <w:sz w:val="24"/>
          <w:szCs w:val="24"/>
        </w:rPr>
        <w:t>但周边仍存在大片相同性质的林地，可作为其另外栖息地和活动场所，</w:t>
      </w:r>
      <w:r>
        <w:rPr>
          <w:rFonts w:ascii="Times New Roman" w:hAnsi="Times New Roman"/>
          <w:sz w:val="24"/>
        </w:rPr>
        <w:t>导致这些物种的迁移或数量减少，但影响面积和数量有限，不会导致区域动物数量发生根本性改变，也不会对区域动物多样性产生根本性的影响。</w:t>
      </w:r>
      <w:r>
        <w:rPr>
          <w:rFonts w:ascii="Times New Roman" w:hAnsi="Times New Roman"/>
          <w:sz w:val="24"/>
          <w:szCs w:val="24"/>
        </w:rPr>
        <w:t>且区内未发现有珍稀濒危野生保护动物，开采破坏区域生态不敏感，破坏性不大。</w:t>
      </w:r>
    </w:p>
    <w:p>
      <w:pPr>
        <w:spacing w:line="360" w:lineRule="auto"/>
        <w:ind w:firstLine="480" w:firstLineChars="200"/>
        <w:rPr>
          <w:sz w:val="24"/>
        </w:rPr>
      </w:pPr>
      <w:r>
        <w:rPr>
          <w:sz w:val="24"/>
        </w:rPr>
        <w:t>因此，现状矿山对生态多样性的种群数量造成减少，但破坏性有限，影响较小。</w:t>
      </w:r>
    </w:p>
    <w:p>
      <w:pPr>
        <w:pStyle w:val="5"/>
        <w:spacing w:before="0" w:after="0" w:line="360" w:lineRule="auto"/>
        <w:jc w:val="left"/>
        <w:rPr>
          <w:b w:val="0"/>
          <w:bCs w:val="0"/>
          <w:sz w:val="24"/>
          <w:szCs w:val="24"/>
        </w:rPr>
      </w:pPr>
      <w:r>
        <w:rPr>
          <w:b w:val="0"/>
          <w:bCs w:val="0"/>
          <w:sz w:val="24"/>
          <w:szCs w:val="24"/>
        </w:rPr>
        <w:t>（二）未来生态多样性影响预测分析</w:t>
      </w:r>
    </w:p>
    <w:p>
      <w:pPr>
        <w:pStyle w:val="132"/>
        <w:ind w:firstLine="480"/>
        <w:rPr>
          <w:rFonts w:ascii="Times New Roman" w:hAnsi="Times New Roman"/>
          <w:sz w:val="24"/>
          <w:szCs w:val="24"/>
        </w:rPr>
      </w:pPr>
      <w:r>
        <w:rPr>
          <w:rFonts w:ascii="Times New Roman" w:hAnsi="Times New Roman"/>
          <w:sz w:val="24"/>
          <w:szCs w:val="24"/>
        </w:rPr>
        <w:t>1、矿区及周边植被破坏预测</w:t>
      </w:r>
    </w:p>
    <w:p>
      <w:pPr>
        <w:pStyle w:val="132"/>
        <w:ind w:firstLine="480"/>
        <w:rPr>
          <w:rFonts w:ascii="Times New Roman" w:hAnsi="Times New Roman"/>
          <w:sz w:val="24"/>
          <w:szCs w:val="24"/>
        </w:rPr>
      </w:pPr>
      <w:r>
        <w:rPr>
          <w:rFonts w:ascii="Times New Roman" w:hAnsi="Times New Roman"/>
          <w:sz w:val="24"/>
          <w:szCs w:val="24"/>
        </w:rPr>
        <w:t>（1）地面工程建设对矿区及周边植被破坏预测</w:t>
      </w:r>
    </w:p>
    <w:p>
      <w:pPr>
        <w:pStyle w:val="132"/>
        <w:ind w:firstLine="480"/>
        <w:rPr>
          <w:rFonts w:ascii="Times New Roman" w:hAnsi="Times New Roman"/>
          <w:sz w:val="24"/>
          <w:szCs w:val="24"/>
        </w:rPr>
      </w:pPr>
      <w:r>
        <w:rPr>
          <w:rFonts w:ascii="Times New Roman" w:hAnsi="Times New Roman"/>
          <w:sz w:val="24"/>
          <w:szCs w:val="24"/>
        </w:rPr>
        <w:t>根据矿山开发利用方案，露天采场采空面积将进一步增大，使原本被覆盖的植被大面积破坏，造成水土流失和土地荒莫化；采区大面积砍伐森林、植被，将使原有的生态状况产生改变，恶化生态环境，导致植物种类、数量减少。破坏的植被树种有马尾松、杉树、香桦、箭竹、吊钟花、乌冈栎及林下灌木、毛竹及杂草等，但区内不存在破坏珍稀濒危保护植物及古树名木的情况；不会使整个评价区域植物群落和生物多样性发生明显变化，也不会造成某一植物物种的消失，且在矿山闭采后，在人工辅助下，通过恢复植被等措施可逐渐弥补因矿山建设造成生物量和多样性减少的损失。</w:t>
      </w:r>
    </w:p>
    <w:p>
      <w:pPr>
        <w:pStyle w:val="132"/>
        <w:ind w:firstLine="480"/>
        <w:rPr>
          <w:rFonts w:ascii="Times New Roman" w:hAnsi="Times New Roman"/>
          <w:sz w:val="24"/>
          <w:szCs w:val="24"/>
        </w:rPr>
      </w:pPr>
      <w:r>
        <w:rPr>
          <w:rFonts w:ascii="Times New Roman" w:hAnsi="Times New Roman"/>
          <w:sz w:val="24"/>
          <w:szCs w:val="24"/>
        </w:rPr>
        <w:t>（2）水生态水环境对矿区及周边植被破坏预测</w:t>
      </w:r>
    </w:p>
    <w:p>
      <w:pPr>
        <w:pStyle w:val="132"/>
        <w:ind w:firstLine="480"/>
        <w:rPr>
          <w:rFonts w:ascii="Times New Roman" w:hAnsi="Times New Roman"/>
          <w:sz w:val="24"/>
          <w:szCs w:val="24"/>
        </w:rPr>
      </w:pPr>
      <w:r>
        <w:rPr>
          <w:rFonts w:ascii="Times New Roman" w:hAnsi="Times New Roman"/>
          <w:sz w:val="24"/>
          <w:szCs w:val="24"/>
        </w:rPr>
        <w:t>依前述，未来矿山开采对生态水环境破坏有限，同时由于矿区雨量充沛，植被以林地和草类为主，耐旱能力较强，这部分土壤水份的流失不会对植被造成明显不利。</w:t>
      </w:r>
    </w:p>
    <w:p>
      <w:pPr>
        <w:pStyle w:val="132"/>
        <w:ind w:firstLine="480"/>
        <w:rPr>
          <w:rFonts w:ascii="Times New Roman" w:hAnsi="Times New Roman"/>
          <w:sz w:val="24"/>
          <w:szCs w:val="24"/>
        </w:rPr>
      </w:pPr>
      <w:r>
        <w:rPr>
          <w:rFonts w:ascii="Times New Roman" w:hAnsi="Times New Roman"/>
          <w:sz w:val="24"/>
          <w:szCs w:val="24"/>
        </w:rPr>
        <w:t>2、野生动物影响预测</w:t>
      </w:r>
    </w:p>
    <w:p>
      <w:pPr>
        <w:spacing w:line="470" w:lineRule="exact"/>
        <w:ind w:firstLine="480" w:firstLineChars="200"/>
        <w:rPr>
          <w:kern w:val="0"/>
          <w:sz w:val="24"/>
        </w:rPr>
      </w:pPr>
      <w:r>
        <w:rPr>
          <w:sz w:val="24"/>
        </w:rPr>
        <w:t>未来矿山继续开采，露采场挖损植被、表土及岩石压占山林，将侵占自然植被，其面积将逐步增大；人员活动以及机械生产、爆炸噪声震动等会使一些野生动物失去部分觅食地、栖息场所和活动区域，对野生动物的生存环境产生轻微影响；人为干扰如工作人员滥捕乱猎等将直接影响到某些野生动物种群数量，这种影响通过加强对员工的宣传教育和管理可得到消除。</w:t>
      </w:r>
      <w:r>
        <w:rPr>
          <w:kern w:val="0"/>
          <w:sz w:val="24"/>
        </w:rPr>
        <w:t>但矿业活动对野生动物影响原已存在，未来矿业活动不会使区域野生动物物种数发生明显变化，其种群数量也不会发生明显变化。依前述</w:t>
      </w:r>
      <w:r>
        <w:rPr>
          <w:sz w:val="24"/>
        </w:rPr>
        <w:t>矿区野生动物种类少，无大型野生哺乳动物，现有的野生动物多为一些常见的鸟类、蛙类及昆虫等，未发现珍稀野生保护动物，这种不利影响是轻微的。矿山闭采后能通过生态治理可恢复，没有造成不可逆损失。</w:t>
      </w:r>
      <w:r>
        <w:rPr>
          <w:kern w:val="0"/>
          <w:sz w:val="24"/>
        </w:rPr>
        <w:t>目前存在的常见野生动物也将重新得到生存空间，闭坑后生态多样性也不会进一步加剧。</w:t>
      </w:r>
    </w:p>
    <w:p>
      <w:pPr>
        <w:spacing w:line="470" w:lineRule="exact"/>
        <w:ind w:firstLine="480" w:firstLineChars="200"/>
        <w:rPr>
          <w:kern w:val="0"/>
          <w:sz w:val="24"/>
        </w:rPr>
      </w:pPr>
      <w:r>
        <w:rPr>
          <w:kern w:val="0"/>
          <w:sz w:val="24"/>
        </w:rPr>
        <w:t>矿山区属农村农业生态与林地生态系统过渡区域，临近没有生态敏感区，动植物物种多为常见的广布种，未来生态多样性基本维持现状。</w:t>
      </w:r>
    </w:p>
    <w:p>
      <w:pPr>
        <w:pStyle w:val="2"/>
      </w:pPr>
    </w:p>
    <w:bookmarkEnd w:id="45"/>
    <w:bookmarkEnd w:id="46"/>
    <w:p>
      <w:pPr>
        <w:pStyle w:val="3"/>
        <w:spacing w:beforeLines="50" w:afterLines="50" w:line="360" w:lineRule="auto"/>
        <w:jc w:val="center"/>
        <w:rPr>
          <w:b w:val="0"/>
          <w:bCs w:val="0"/>
          <w:sz w:val="30"/>
          <w:szCs w:val="30"/>
        </w:rPr>
        <w:sectPr>
          <w:footerReference r:id="rId12" w:type="default"/>
          <w:pgSz w:w="11906" w:h="16838"/>
          <w:pgMar w:top="1418" w:right="1247" w:bottom="1418" w:left="1247" w:header="720" w:footer="720" w:gutter="0"/>
          <w:cols w:space="720" w:num="1"/>
          <w:docGrid w:linePitch="286" w:charSpace="0"/>
        </w:sectPr>
      </w:pPr>
      <w:bookmarkStart w:id="55" w:name="_Toc518918336"/>
      <w:bookmarkStart w:id="56" w:name="_Toc130937636"/>
    </w:p>
    <w:p>
      <w:pPr>
        <w:pStyle w:val="3"/>
        <w:spacing w:beforeLines="50" w:afterLines="50" w:line="360" w:lineRule="auto"/>
        <w:jc w:val="center"/>
        <w:rPr>
          <w:b w:val="0"/>
          <w:bCs w:val="0"/>
          <w:sz w:val="30"/>
          <w:szCs w:val="30"/>
        </w:rPr>
      </w:pPr>
      <w:r>
        <w:rPr>
          <w:b w:val="0"/>
          <w:bCs w:val="0"/>
          <w:sz w:val="30"/>
          <w:szCs w:val="30"/>
        </w:rPr>
        <w:t>第四章</w:t>
      </w:r>
      <w:bookmarkEnd w:id="55"/>
      <w:r>
        <w:rPr>
          <w:b w:val="0"/>
          <w:bCs w:val="0"/>
          <w:sz w:val="30"/>
          <w:szCs w:val="30"/>
        </w:rPr>
        <w:t xml:space="preserve">  生态保护修复工程部署</w:t>
      </w:r>
      <w:bookmarkEnd w:id="56"/>
    </w:p>
    <w:p>
      <w:pPr>
        <w:pStyle w:val="4"/>
        <w:spacing w:before="120" w:after="120" w:line="470" w:lineRule="exact"/>
        <w:jc w:val="left"/>
        <w:rPr>
          <w:rFonts w:ascii="Times New Roman" w:hAnsi="Times New Roman" w:eastAsia="宋体"/>
          <w:b w:val="0"/>
          <w:bCs w:val="0"/>
          <w:sz w:val="28"/>
        </w:rPr>
      </w:pPr>
      <w:bookmarkStart w:id="57" w:name="_Toc497862378"/>
      <w:bookmarkStart w:id="58" w:name="_Toc130937637"/>
      <w:r>
        <w:rPr>
          <w:rFonts w:ascii="Times New Roman" w:hAnsi="Times New Roman" w:eastAsia="宋体"/>
          <w:b w:val="0"/>
          <w:bCs w:val="0"/>
          <w:sz w:val="28"/>
        </w:rPr>
        <w:t>一、生态保护修复</w:t>
      </w:r>
      <w:bookmarkEnd w:id="57"/>
      <w:r>
        <w:rPr>
          <w:rFonts w:ascii="Times New Roman" w:hAnsi="Times New Roman" w:eastAsia="宋体"/>
          <w:b w:val="0"/>
          <w:bCs w:val="0"/>
          <w:sz w:val="28"/>
        </w:rPr>
        <w:t>工程部署思路</w:t>
      </w:r>
      <w:bookmarkEnd w:id="58"/>
    </w:p>
    <w:p>
      <w:pPr>
        <w:spacing w:line="470" w:lineRule="exact"/>
        <w:ind w:firstLine="480" w:firstLineChars="200"/>
        <w:rPr>
          <w:sz w:val="24"/>
        </w:rPr>
      </w:pPr>
      <w:r>
        <w:rPr>
          <w:sz w:val="24"/>
        </w:rPr>
        <w:t>按照“边开采、边修复”的原则，综合矿山所在地的生态功能区划定位、《国土空间规划》中的土地用途管制、区域产业经济发展战略布局、特色产业经济及周边群众对矿山生态修复的诉求等多方面因素，以不破坏局部生态系统的生态功能为前提，按照宜耕则耕、宜建则建、宜水则水、宜林则林的原则，提出本次矿山生态保护修复思路为“林+建设用地”综合方式，具体如下：</w:t>
      </w:r>
    </w:p>
    <w:p>
      <w:pPr>
        <w:spacing w:line="470" w:lineRule="exact"/>
        <w:ind w:firstLine="480" w:firstLineChars="200"/>
        <w:rPr>
          <w:sz w:val="24"/>
        </w:rPr>
      </w:pPr>
      <w:r>
        <w:rPr>
          <w:sz w:val="24"/>
        </w:rPr>
        <w:t>1、矿山所在区域地形坡度一般为</w:t>
      </w:r>
      <w:r>
        <w:rPr>
          <w:rFonts w:hint="eastAsia"/>
          <w:sz w:val="24"/>
        </w:rPr>
        <w:t>**</w:t>
      </w:r>
      <w:r>
        <w:rPr>
          <w:sz w:val="24"/>
        </w:rPr>
        <w:t>～</w:t>
      </w:r>
      <w:r>
        <w:rPr>
          <w:rFonts w:hint="eastAsia"/>
          <w:sz w:val="24"/>
        </w:rPr>
        <w:t>**</w:t>
      </w:r>
      <w:r>
        <w:rPr>
          <w:sz w:val="24"/>
        </w:rPr>
        <w:t>°，局部较陡，矿山应做好截排水工作，保持排水畅通，降低矿山露天采场形成的边坡水土流失程度，矿山永久边坡和台阶生态修复后，加强植被后期管护工作。</w:t>
      </w:r>
    </w:p>
    <w:p>
      <w:pPr>
        <w:spacing w:line="470" w:lineRule="exact"/>
        <w:ind w:firstLine="480" w:firstLineChars="200"/>
        <w:rPr>
          <w:sz w:val="24"/>
        </w:rPr>
      </w:pPr>
      <w:r>
        <w:rPr>
          <w:sz w:val="24"/>
        </w:rPr>
        <w:t>2、针对矿山露采场可能引发的地质灾害及水环境问题，矿山应对露采场废水进行沉淀处理及监测；在境界外设置围栏及警示牌、截排水沟；设置地质灾害监测点，以预防地质灾害和水环境污染的发生。</w:t>
      </w:r>
    </w:p>
    <w:p>
      <w:pPr>
        <w:spacing w:line="470" w:lineRule="exact"/>
        <w:ind w:firstLine="480" w:firstLineChars="200"/>
        <w:rPr>
          <w:sz w:val="24"/>
        </w:rPr>
      </w:pPr>
      <w:r>
        <w:rPr>
          <w:sz w:val="24"/>
        </w:rPr>
        <w:t>3、因地制宜实现土地的可持续利用，闭坑后露采场底盘</w:t>
      </w:r>
      <w:r>
        <w:rPr>
          <w:rFonts w:hint="eastAsia"/>
          <w:sz w:val="24"/>
        </w:rPr>
        <w:t>+**以下</w:t>
      </w:r>
      <w:r>
        <w:rPr>
          <w:sz w:val="24"/>
        </w:rPr>
        <w:t>修复为水塘；工业广场及矿部</w:t>
      </w:r>
      <w:r>
        <w:rPr>
          <w:rFonts w:hint="eastAsia"/>
          <w:sz w:val="24"/>
        </w:rPr>
        <w:t>部分</w:t>
      </w:r>
      <w:r>
        <w:rPr>
          <w:sz w:val="24"/>
        </w:rPr>
        <w:t>已办理建设用地手续，</w:t>
      </w:r>
      <w:r>
        <w:rPr>
          <w:rFonts w:hint="eastAsia"/>
          <w:sz w:val="24"/>
        </w:rPr>
        <w:t>剩余部分修复为林地</w:t>
      </w:r>
      <w:r>
        <w:rPr>
          <w:sz w:val="24"/>
        </w:rPr>
        <w:t>，采场边坡及平台进行乔灌复绿并对植被恢复区进行生态管护和监测等。</w:t>
      </w:r>
    </w:p>
    <w:p>
      <w:pPr>
        <w:pStyle w:val="4"/>
        <w:spacing w:before="120" w:after="120" w:line="470" w:lineRule="exact"/>
        <w:jc w:val="left"/>
        <w:rPr>
          <w:rFonts w:ascii="Times New Roman" w:hAnsi="Times New Roman" w:eastAsia="宋体"/>
          <w:b w:val="0"/>
          <w:bCs w:val="0"/>
          <w:sz w:val="28"/>
        </w:rPr>
      </w:pPr>
      <w:bookmarkStart w:id="59" w:name="_Toc130937638"/>
      <w:bookmarkStart w:id="60" w:name="_Toc497862379"/>
      <w:r>
        <w:rPr>
          <w:rFonts w:ascii="Times New Roman" w:hAnsi="Times New Roman" w:eastAsia="宋体"/>
          <w:b w:val="0"/>
          <w:bCs w:val="0"/>
          <w:sz w:val="28"/>
        </w:rPr>
        <w:t>二、生态保护修复目标与措施</w:t>
      </w:r>
      <w:bookmarkEnd w:id="59"/>
    </w:p>
    <w:p>
      <w:pPr>
        <w:pStyle w:val="5"/>
        <w:spacing w:before="0" w:after="0" w:line="360" w:lineRule="auto"/>
        <w:jc w:val="left"/>
        <w:rPr>
          <w:b w:val="0"/>
          <w:bCs w:val="0"/>
          <w:sz w:val="24"/>
          <w:szCs w:val="24"/>
        </w:rPr>
      </w:pPr>
      <w:r>
        <w:rPr>
          <w:b w:val="0"/>
          <w:bCs w:val="0"/>
          <w:sz w:val="24"/>
          <w:szCs w:val="24"/>
        </w:rPr>
        <w:t>（一）保护修复目标</w:t>
      </w:r>
    </w:p>
    <w:p>
      <w:pPr>
        <w:spacing w:line="470" w:lineRule="exact"/>
        <w:ind w:firstLine="480" w:firstLineChars="200"/>
        <w:rPr>
          <w:sz w:val="24"/>
        </w:rPr>
      </w:pPr>
      <w:r>
        <w:rPr>
          <w:sz w:val="24"/>
        </w:rPr>
        <w:t>1、促进矿山企业按《矿山生态保护修复方案》开展生态环境保护与复垦工作，消除地质灾害安全隐患，使矿山地质坏境得到保护，矿区生态环境得以改善。</w:t>
      </w:r>
    </w:p>
    <w:p>
      <w:pPr>
        <w:spacing w:line="470" w:lineRule="exact"/>
        <w:ind w:firstLine="480" w:firstLineChars="200"/>
        <w:rPr>
          <w:sz w:val="24"/>
        </w:rPr>
      </w:pPr>
      <w:r>
        <w:rPr>
          <w:sz w:val="24"/>
        </w:rPr>
        <w:t>2、定期环境监测：矿山废水做到达标排放。</w:t>
      </w:r>
    </w:p>
    <w:p>
      <w:pPr>
        <w:spacing w:line="470" w:lineRule="exact"/>
        <w:ind w:firstLine="480" w:firstLineChars="200"/>
        <w:rPr>
          <w:sz w:val="24"/>
        </w:rPr>
      </w:pPr>
      <w:r>
        <w:rPr>
          <w:sz w:val="24"/>
        </w:rPr>
        <w:t>3、灾害治理率达100％：对矿区可能存在的灾害隐患点定期监测、巡查及时消除安全隐患，对发生的灾害及时治理到位。</w:t>
      </w:r>
    </w:p>
    <w:p>
      <w:pPr>
        <w:spacing w:line="470" w:lineRule="exact"/>
        <w:ind w:firstLine="480" w:firstLineChars="200"/>
        <w:rPr>
          <w:sz w:val="24"/>
        </w:rPr>
      </w:pPr>
      <w:r>
        <w:rPr>
          <w:sz w:val="24"/>
        </w:rPr>
        <w:t>4、土地复垦率100％：矿山闭坑后对所有占用、破坏的土地及时复垦。</w:t>
      </w:r>
    </w:p>
    <w:p>
      <w:pPr>
        <w:spacing w:line="470" w:lineRule="exact"/>
        <w:ind w:firstLine="480" w:firstLineChars="200"/>
        <w:rPr>
          <w:sz w:val="24"/>
        </w:rPr>
      </w:pPr>
      <w:r>
        <w:rPr>
          <w:sz w:val="24"/>
        </w:rPr>
        <w:t>5、矿区生态环境保护方面能达标绿色矿山建设要求，能保持区域整体生态系统功能得到保护和修复。</w:t>
      </w:r>
    </w:p>
    <w:p>
      <w:pPr>
        <w:spacing w:line="470" w:lineRule="exact"/>
        <w:ind w:firstLine="480" w:firstLineChars="200"/>
        <w:rPr>
          <w:sz w:val="24"/>
        </w:rPr>
      </w:pPr>
      <w:r>
        <w:rPr>
          <w:sz w:val="24"/>
        </w:rPr>
        <w:t>（二）保护修复措施</w:t>
      </w:r>
    </w:p>
    <w:p>
      <w:pPr>
        <w:spacing w:line="470" w:lineRule="exact"/>
        <w:ind w:firstLine="480" w:firstLineChars="200"/>
        <w:rPr>
          <w:sz w:val="24"/>
        </w:rPr>
      </w:pPr>
      <w:bookmarkStart w:id="61" w:name="_Toc281852278"/>
      <w:bookmarkStart w:id="62" w:name="_Toc367255395"/>
      <w:bookmarkStart w:id="63" w:name="_Toc257270500"/>
      <w:bookmarkStart w:id="64" w:name="_Toc190919942"/>
      <w:bookmarkStart w:id="65" w:name="_Toc362469157"/>
      <w:bookmarkStart w:id="66" w:name="_Toc190919517"/>
      <w:bookmarkStart w:id="67" w:name="_Toc224285726"/>
      <w:bookmarkStart w:id="68" w:name="_Toc211601820"/>
      <w:r>
        <w:rPr>
          <w:sz w:val="24"/>
        </w:rPr>
        <w:t>矿山生态保护修复措施主要有保护保育、自然恢复、人工辅助修复等。本次根据</w:t>
      </w:r>
      <w:r>
        <w:rPr>
          <w:sz w:val="24"/>
          <w:lang w:val="zh-CN"/>
        </w:rPr>
        <w:t>湖南省桃江县浮邱山矿区沙田湾花岗岩矿</w:t>
      </w:r>
      <w:r>
        <w:rPr>
          <w:sz w:val="24"/>
        </w:rPr>
        <w:t>生态问题诊断，结合自然恢复，采取改善物理环境，参照本地生态系统引入适宜物种，移除导致生态系统退化的物种等中小强度的人工辅助措施，引导和促进生态系统逐步恢复。根据以上修复模式相关要求和主要做法：</w:t>
      </w:r>
    </w:p>
    <w:p>
      <w:pPr>
        <w:spacing w:line="470" w:lineRule="exact"/>
        <w:ind w:firstLine="480" w:firstLineChars="200"/>
        <w:rPr>
          <w:sz w:val="24"/>
        </w:rPr>
      </w:pPr>
      <w:r>
        <w:rPr>
          <w:sz w:val="24"/>
        </w:rPr>
        <w:t>1、矿山开采期间沿境界外依地形修建截水沟，防止水土流失，边坡坡顶设置安全防护围栏并设立警示标识；</w:t>
      </w:r>
    </w:p>
    <w:p>
      <w:pPr>
        <w:spacing w:line="470" w:lineRule="exact"/>
        <w:ind w:firstLine="480" w:firstLineChars="200"/>
        <w:rPr>
          <w:sz w:val="24"/>
        </w:rPr>
      </w:pPr>
      <w:r>
        <w:rPr>
          <w:sz w:val="24"/>
        </w:rPr>
        <w:t>2、开采期间严格按照设计留设采场台阶边坡，并对其开展地质灾害监测工程；台阶终了后，对露采场边坡表面存在的明显松动的危岩体和浮石进行清除，并对平台进行覆土复绿，坡面绿化。</w:t>
      </w:r>
    </w:p>
    <w:p>
      <w:pPr>
        <w:spacing w:line="470" w:lineRule="exact"/>
        <w:ind w:firstLine="420" w:firstLineChars="200"/>
        <w:rPr>
          <w:sz w:val="24"/>
        </w:rPr>
      </w:pPr>
      <w:r>
        <w:t>4、</w:t>
      </w:r>
      <w:r>
        <w:rPr>
          <w:sz w:val="24"/>
        </w:rPr>
        <w:t>矿山闭采后全面复垦，露采场底盘修复为水塘，工业广场、矿部部分区域转型利用为建设用地，非建设用地区域修复为林草地，采场边坡及平台区种植乔灌草复垦为林草地。</w:t>
      </w:r>
    </w:p>
    <w:p>
      <w:pPr>
        <w:spacing w:line="470" w:lineRule="exact"/>
        <w:ind w:firstLine="480" w:firstLineChars="200"/>
        <w:rPr>
          <w:sz w:val="24"/>
        </w:rPr>
      </w:pPr>
      <w:r>
        <w:rPr>
          <w:sz w:val="24"/>
        </w:rPr>
        <w:t>5、开采期间对矿山采坑排水和生活废水进行处理、综合利用及水质监测，使矿山废水达标排放。</w:t>
      </w:r>
    </w:p>
    <w:p>
      <w:pPr>
        <w:spacing w:line="470" w:lineRule="exact"/>
        <w:ind w:firstLine="480" w:firstLineChars="200"/>
        <w:rPr>
          <w:sz w:val="24"/>
        </w:rPr>
      </w:pPr>
      <w:r>
        <w:rPr>
          <w:sz w:val="24"/>
        </w:rPr>
        <w:t>6、对于生态修复完毕的土地，开展3年的管护期，防止土地的退化。</w:t>
      </w:r>
    </w:p>
    <w:p>
      <w:pPr>
        <w:pStyle w:val="4"/>
        <w:spacing w:before="120" w:after="120" w:line="360" w:lineRule="auto"/>
        <w:jc w:val="left"/>
        <w:rPr>
          <w:rFonts w:ascii="Times New Roman" w:hAnsi="Times New Roman" w:eastAsia="宋体"/>
          <w:b w:val="0"/>
          <w:bCs w:val="0"/>
          <w:sz w:val="28"/>
        </w:rPr>
      </w:pPr>
      <w:bookmarkStart w:id="69" w:name="_Toc130937639"/>
      <w:r>
        <w:rPr>
          <w:rFonts w:ascii="Times New Roman" w:hAnsi="Times New Roman" w:eastAsia="宋体"/>
          <w:b w:val="0"/>
          <w:bCs w:val="0"/>
          <w:sz w:val="28"/>
        </w:rPr>
        <w:t>三、生态保护修复工程</w:t>
      </w:r>
      <w:bookmarkEnd w:id="69"/>
    </w:p>
    <w:p>
      <w:pPr>
        <w:pStyle w:val="5"/>
        <w:spacing w:before="0" w:after="0" w:line="360" w:lineRule="auto"/>
        <w:jc w:val="left"/>
        <w:rPr>
          <w:b w:val="0"/>
          <w:bCs w:val="0"/>
          <w:sz w:val="24"/>
          <w:szCs w:val="24"/>
        </w:rPr>
      </w:pPr>
      <w:r>
        <w:rPr>
          <w:b w:val="0"/>
          <w:bCs w:val="0"/>
          <w:sz w:val="24"/>
          <w:szCs w:val="24"/>
        </w:rPr>
        <w:t>（一）生态保护工程</w:t>
      </w:r>
    </w:p>
    <w:p>
      <w:pPr>
        <w:adjustRightInd w:val="0"/>
        <w:snapToGrid w:val="0"/>
        <w:spacing w:line="460" w:lineRule="exact"/>
        <w:ind w:firstLine="480" w:firstLineChars="200"/>
        <w:rPr>
          <w:sz w:val="24"/>
        </w:rPr>
      </w:pPr>
      <w:r>
        <w:rPr>
          <w:sz w:val="24"/>
        </w:rPr>
        <w:t>矿山后续矿业活动应严格控制矿山建设工程计划用地，保护建设场地以外的生态环境，禁止非建设的乱砍滥伐、毁损植被和猎捕行为，将生态保护理念贯穿至矿山开采全生命周期。</w:t>
      </w:r>
    </w:p>
    <w:p>
      <w:pPr>
        <w:spacing w:line="360" w:lineRule="auto"/>
        <w:ind w:firstLine="480" w:firstLineChars="200"/>
        <w:outlineLvl w:val="3"/>
        <w:rPr>
          <w:sz w:val="24"/>
        </w:rPr>
      </w:pPr>
      <w:r>
        <w:rPr>
          <w:sz w:val="24"/>
        </w:rPr>
        <w:t>1、野生动、植物的保护</w:t>
      </w:r>
    </w:p>
    <w:p>
      <w:pPr>
        <w:spacing w:line="360" w:lineRule="auto"/>
        <w:ind w:firstLine="480" w:firstLineChars="200"/>
        <w:rPr>
          <w:sz w:val="24"/>
        </w:rPr>
      </w:pPr>
      <w:r>
        <w:rPr>
          <w:sz w:val="24"/>
        </w:rPr>
        <w:t>本次生态保护修复区内没有需重点保护的动植物，但矿山应在采矿权范围及其周围，进行生物监测、监视，采取以下有效措施保护动植物：</w:t>
      </w:r>
    </w:p>
    <w:p>
      <w:pPr>
        <w:spacing w:line="360" w:lineRule="auto"/>
        <w:ind w:firstLine="480" w:firstLineChars="200"/>
        <w:rPr>
          <w:sz w:val="24"/>
        </w:rPr>
      </w:pPr>
      <w:r>
        <w:rPr>
          <w:sz w:val="24"/>
        </w:rPr>
        <w:t>（1）矿山应与林业部门配合宣传保护野生动植物，提高工作人员的动植物保护意识，宣传保护生物多样性的重要性，不乱砍滥伐林木，不破坏使用林地范围以外的森林植被，不乱捕滥猎野生动物。</w:t>
      </w:r>
    </w:p>
    <w:p>
      <w:pPr>
        <w:spacing w:line="360" w:lineRule="auto"/>
        <w:ind w:firstLine="480" w:firstLineChars="200"/>
        <w:rPr>
          <w:sz w:val="24"/>
        </w:rPr>
      </w:pPr>
      <w:r>
        <w:rPr>
          <w:sz w:val="24"/>
        </w:rPr>
        <w:t>（2）矿山在开采过程中如发现有珍稀野生植物要立即报地方林业主管部门，采取移植等保护措施。</w:t>
      </w:r>
    </w:p>
    <w:p>
      <w:pPr>
        <w:spacing w:line="360" w:lineRule="auto"/>
        <w:ind w:firstLine="480" w:firstLineChars="200"/>
        <w:rPr>
          <w:sz w:val="24"/>
        </w:rPr>
      </w:pPr>
      <w:r>
        <w:rPr>
          <w:sz w:val="24"/>
        </w:rPr>
        <w:t>（3）森林防火措施。在矿山建设和生产期间，应在施工区周围竖立防火警示牌，划出禁火区域，严格护林防火制度，巡回检查，预防和杜绝森林火灾发生。</w:t>
      </w:r>
    </w:p>
    <w:p>
      <w:pPr>
        <w:spacing w:line="360" w:lineRule="auto"/>
        <w:ind w:firstLine="480" w:firstLineChars="200"/>
        <w:outlineLvl w:val="3"/>
        <w:rPr>
          <w:sz w:val="24"/>
        </w:rPr>
      </w:pPr>
      <w:r>
        <w:rPr>
          <w:sz w:val="24"/>
        </w:rPr>
        <w:t>2、植被恢复生物多样性保护措施</w:t>
      </w:r>
    </w:p>
    <w:p>
      <w:pPr>
        <w:spacing w:line="360" w:lineRule="auto"/>
        <w:ind w:firstLine="480" w:firstLineChars="200"/>
        <w:rPr>
          <w:sz w:val="24"/>
        </w:rPr>
      </w:pPr>
      <w:r>
        <w:rPr>
          <w:sz w:val="24"/>
        </w:rPr>
        <w:t>针对矿山开采、剥离等造成的采场及周围剥离裸露面，于每年秋季组织人力采集本地野生草籽，本地生植物树苗，或适合种植的草本植物，于采场内形成的终了边坡平台或其他矿山建设开挖剥离裸露部位广为播种，以期迅速恢复植被，保持本地物种及多样性，与当地自然景观调和。</w:t>
      </w:r>
    </w:p>
    <w:p>
      <w:pPr>
        <w:spacing w:line="360" w:lineRule="auto"/>
        <w:ind w:firstLine="480" w:firstLineChars="200"/>
        <w:outlineLvl w:val="3"/>
        <w:rPr>
          <w:sz w:val="24"/>
        </w:rPr>
      </w:pPr>
      <w:r>
        <w:rPr>
          <w:sz w:val="24"/>
        </w:rPr>
        <w:t>3、生态环境保护宣传栏</w:t>
      </w:r>
    </w:p>
    <w:p>
      <w:pPr>
        <w:spacing w:line="360" w:lineRule="auto"/>
        <w:ind w:firstLine="480" w:firstLineChars="200"/>
        <w:rPr>
          <w:sz w:val="24"/>
        </w:rPr>
      </w:pPr>
      <w:r>
        <w:rPr>
          <w:sz w:val="24"/>
        </w:rPr>
        <w:t>在矿部办公楼正对面及进矿道路和采场处显眼位置新增设置矿山宣传栏，加强生态环境保护宣传工作。主要是生态保护宣传栏，宣传生态环境保护思想，加强生态修复意识。</w:t>
      </w:r>
    </w:p>
    <w:p>
      <w:pPr>
        <w:spacing w:line="470" w:lineRule="exact"/>
        <w:ind w:firstLine="480" w:firstLineChars="200"/>
        <w:rPr>
          <w:sz w:val="24"/>
        </w:rPr>
      </w:pPr>
      <w:r>
        <w:rPr>
          <w:sz w:val="24"/>
        </w:rPr>
        <w:t>参照《湖南省非金属材料矿山绿色矿山标准》（试行）和《矿山安全标志》（GB14161-2008）中规定，本矿山所有生产地点涉及到的生态保护修复标识标牌共</w:t>
      </w:r>
      <w:r>
        <w:rPr>
          <w:rFonts w:hint="eastAsia"/>
          <w:sz w:val="24"/>
        </w:rPr>
        <w:t>4块（图1-1、4-2、4-3）</w:t>
      </w:r>
      <w:r>
        <w:rPr>
          <w:sz w:val="24"/>
        </w:rPr>
        <w:t>。一般设计长为</w:t>
      </w:r>
      <w:r>
        <w:rPr>
          <w:rFonts w:hint="eastAsia"/>
          <w:sz w:val="24"/>
        </w:rPr>
        <w:t>***</w:t>
      </w:r>
      <w:r>
        <w:rPr>
          <w:sz w:val="24"/>
        </w:rPr>
        <w:t>mm，宽为</w:t>
      </w:r>
      <w:r>
        <w:rPr>
          <w:rFonts w:hint="eastAsia"/>
          <w:sz w:val="24"/>
        </w:rPr>
        <w:t>***</w:t>
      </w:r>
      <w:r>
        <w:rPr>
          <w:sz w:val="24"/>
        </w:rPr>
        <w:t>mm，白边宽为</w:t>
      </w:r>
      <w:r>
        <w:rPr>
          <w:rFonts w:hint="eastAsia"/>
          <w:sz w:val="24"/>
        </w:rPr>
        <w:t>*</w:t>
      </w:r>
      <w:r>
        <w:rPr>
          <w:sz w:val="24"/>
        </w:rPr>
        <w:t>mm，立杆则采用半径</w:t>
      </w:r>
      <w:r>
        <w:rPr>
          <w:rFonts w:hint="eastAsia"/>
          <w:sz w:val="24"/>
        </w:rPr>
        <w:t>**</w:t>
      </w:r>
      <w:r>
        <w:rPr>
          <w:sz w:val="24"/>
        </w:rPr>
        <w:t>mm圆钢管，钢管一般总长</w:t>
      </w:r>
      <w:r>
        <w:rPr>
          <w:rFonts w:hint="eastAsia"/>
          <w:sz w:val="24"/>
        </w:rPr>
        <w:t>**</w:t>
      </w:r>
      <w:r>
        <w:rPr>
          <w:sz w:val="24"/>
        </w:rPr>
        <w:t>m，其中地表以上长为</w:t>
      </w:r>
      <w:r>
        <w:rPr>
          <w:rFonts w:hint="eastAsia"/>
          <w:sz w:val="24"/>
        </w:rPr>
        <w:t>***</w:t>
      </w:r>
      <w:r>
        <w:rPr>
          <w:sz w:val="24"/>
        </w:rPr>
        <w:t>m，钉入地下长约</w:t>
      </w:r>
      <w:r>
        <w:rPr>
          <w:rFonts w:hint="eastAsia"/>
          <w:sz w:val="24"/>
        </w:rPr>
        <w:t>***</w:t>
      </w:r>
      <w:r>
        <w:rPr>
          <w:sz w:val="24"/>
        </w:rPr>
        <w:t>m。因此，预计需制作矿区宣传标牌4块。按当地市场价，费用</w:t>
      </w:r>
      <w:r>
        <w:rPr>
          <w:rFonts w:hint="eastAsia"/>
          <w:sz w:val="24"/>
        </w:rPr>
        <w:t>***</w:t>
      </w:r>
      <w:r>
        <w:rPr>
          <w:sz w:val="24"/>
        </w:rPr>
        <w:t>万元，其中含材料费</w:t>
      </w:r>
      <w:r>
        <w:rPr>
          <w:rFonts w:hint="eastAsia"/>
          <w:sz w:val="24"/>
        </w:rPr>
        <w:t>**</w:t>
      </w:r>
      <w:r>
        <w:rPr>
          <w:sz w:val="24"/>
        </w:rPr>
        <w:t>万元（</w:t>
      </w:r>
      <w:r>
        <w:rPr>
          <w:rFonts w:hint="eastAsia"/>
          <w:sz w:val="24"/>
        </w:rPr>
        <w:t>***</w:t>
      </w:r>
      <w:r>
        <w:rPr>
          <w:sz w:val="24"/>
        </w:rPr>
        <w:t>元/个）、人工费</w:t>
      </w:r>
      <w:r>
        <w:rPr>
          <w:rFonts w:hint="eastAsia"/>
          <w:sz w:val="24"/>
        </w:rPr>
        <w:t>***</w:t>
      </w:r>
      <w:r>
        <w:rPr>
          <w:sz w:val="24"/>
        </w:rPr>
        <w:t>万元。时间安排在延续完成后，即2023年1月—2023年12月。具体工作量见表4-1。</w:t>
      </w:r>
    </w:p>
    <w:p>
      <w:pPr>
        <w:spacing w:line="470" w:lineRule="exact"/>
        <w:ind w:firstLine="480" w:firstLineChars="200"/>
        <w:jc w:val="center"/>
        <w:rPr>
          <w:sz w:val="24"/>
        </w:rPr>
      </w:pPr>
      <w:r>
        <w:rPr>
          <w:sz w:val="24"/>
        </w:rPr>
        <w:t>表4-1    宣传牌工作量估算表</w:t>
      </w:r>
    </w:p>
    <w:tbl>
      <w:tblPr>
        <w:tblStyle w:val="34"/>
        <w:tblpPr w:leftFromText="180" w:rightFromText="180" w:vertAnchor="text" w:horzAnchor="page" w:tblpX="1756" w:tblpY="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3018"/>
        <w:gridCol w:w="1108"/>
        <w:gridCol w:w="1108"/>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5" w:type="dxa"/>
            <w:vAlign w:val="center"/>
          </w:tcPr>
          <w:p>
            <w:pPr>
              <w:rPr>
                <w:szCs w:val="21"/>
              </w:rPr>
            </w:pPr>
            <w:r>
              <w:rPr>
                <w:szCs w:val="21"/>
              </w:rPr>
              <w:t>分项工程</w:t>
            </w:r>
          </w:p>
        </w:tc>
        <w:tc>
          <w:tcPr>
            <w:tcW w:w="3018" w:type="dxa"/>
            <w:vAlign w:val="center"/>
          </w:tcPr>
          <w:p>
            <w:pPr>
              <w:rPr>
                <w:szCs w:val="21"/>
              </w:rPr>
            </w:pPr>
            <w:r>
              <w:rPr>
                <w:szCs w:val="21"/>
              </w:rPr>
              <w:t>技术手段</w:t>
            </w:r>
          </w:p>
        </w:tc>
        <w:tc>
          <w:tcPr>
            <w:tcW w:w="1108" w:type="dxa"/>
            <w:vAlign w:val="center"/>
          </w:tcPr>
          <w:p>
            <w:pPr>
              <w:rPr>
                <w:szCs w:val="21"/>
              </w:rPr>
            </w:pPr>
            <w:r>
              <w:rPr>
                <w:szCs w:val="21"/>
              </w:rPr>
              <w:t>单位</w:t>
            </w:r>
          </w:p>
        </w:tc>
        <w:tc>
          <w:tcPr>
            <w:tcW w:w="1108" w:type="dxa"/>
            <w:vAlign w:val="center"/>
          </w:tcPr>
          <w:p>
            <w:pPr>
              <w:rPr>
                <w:szCs w:val="21"/>
              </w:rPr>
            </w:pPr>
            <w:r>
              <w:rPr>
                <w:szCs w:val="21"/>
              </w:rPr>
              <w:t>工程量</w:t>
            </w:r>
          </w:p>
        </w:tc>
        <w:tc>
          <w:tcPr>
            <w:tcW w:w="1800" w:type="dxa"/>
            <w:vAlign w:val="center"/>
          </w:tcPr>
          <w:p>
            <w:pP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5" w:type="dxa"/>
            <w:vMerge w:val="restart"/>
            <w:vAlign w:val="center"/>
          </w:tcPr>
          <w:p>
            <w:pPr>
              <w:rPr>
                <w:szCs w:val="21"/>
              </w:rPr>
            </w:pPr>
            <w:r>
              <w:rPr>
                <w:szCs w:val="21"/>
              </w:rPr>
              <w:t>警示牌、说明牌</w:t>
            </w:r>
          </w:p>
        </w:tc>
        <w:tc>
          <w:tcPr>
            <w:tcW w:w="3018" w:type="dxa"/>
            <w:vAlign w:val="center"/>
          </w:tcPr>
          <w:p>
            <w:pPr>
              <w:rPr>
                <w:szCs w:val="21"/>
              </w:rPr>
            </w:pPr>
            <w:r>
              <w:rPr>
                <w:szCs w:val="21"/>
              </w:rPr>
              <w:t>生物多样性保护宣传栏</w:t>
            </w:r>
          </w:p>
        </w:tc>
        <w:tc>
          <w:tcPr>
            <w:tcW w:w="1108" w:type="dxa"/>
            <w:vAlign w:val="center"/>
          </w:tcPr>
          <w:p>
            <w:pPr>
              <w:rPr>
                <w:szCs w:val="21"/>
              </w:rPr>
            </w:pPr>
            <w:r>
              <w:rPr>
                <w:szCs w:val="21"/>
              </w:rPr>
              <w:t>块</w:t>
            </w:r>
          </w:p>
        </w:tc>
        <w:tc>
          <w:tcPr>
            <w:tcW w:w="1108" w:type="dxa"/>
            <w:vAlign w:val="center"/>
          </w:tcPr>
          <w:p>
            <w:pPr>
              <w:jc w:val="center"/>
              <w:rPr>
                <w:szCs w:val="21"/>
              </w:rPr>
            </w:pPr>
            <w:r>
              <w:rPr>
                <w:szCs w:val="21"/>
              </w:rPr>
              <w:t>1</w:t>
            </w:r>
          </w:p>
        </w:tc>
        <w:tc>
          <w:tcPr>
            <w:tcW w:w="1800" w:type="dxa"/>
            <w:vAlign w:val="center"/>
          </w:tcPr>
          <w:p>
            <w:pPr>
              <w:rPr>
                <w:szCs w:val="21"/>
              </w:rPr>
            </w:pPr>
            <w:r>
              <w:rPr>
                <w:szCs w:val="21"/>
              </w:rPr>
              <w:t>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5" w:type="dxa"/>
            <w:vMerge w:val="continue"/>
            <w:vAlign w:val="center"/>
          </w:tcPr>
          <w:p>
            <w:pPr>
              <w:rPr>
                <w:szCs w:val="21"/>
              </w:rPr>
            </w:pPr>
          </w:p>
        </w:tc>
        <w:tc>
          <w:tcPr>
            <w:tcW w:w="3018" w:type="dxa"/>
            <w:vAlign w:val="center"/>
          </w:tcPr>
          <w:p>
            <w:pPr>
              <w:rPr>
                <w:szCs w:val="21"/>
              </w:rPr>
            </w:pPr>
            <w:r>
              <w:rPr>
                <w:szCs w:val="21"/>
              </w:rPr>
              <w:t>加强生态环境保护</w:t>
            </w:r>
          </w:p>
        </w:tc>
        <w:tc>
          <w:tcPr>
            <w:tcW w:w="1108" w:type="dxa"/>
            <w:vAlign w:val="center"/>
          </w:tcPr>
          <w:p>
            <w:pPr>
              <w:rPr>
                <w:szCs w:val="21"/>
              </w:rPr>
            </w:pPr>
            <w:r>
              <w:rPr>
                <w:szCs w:val="21"/>
              </w:rPr>
              <w:t>块</w:t>
            </w:r>
          </w:p>
        </w:tc>
        <w:tc>
          <w:tcPr>
            <w:tcW w:w="1108" w:type="dxa"/>
            <w:vAlign w:val="center"/>
          </w:tcPr>
          <w:p>
            <w:pPr>
              <w:jc w:val="center"/>
              <w:rPr>
                <w:szCs w:val="21"/>
              </w:rPr>
            </w:pPr>
            <w:r>
              <w:rPr>
                <w:szCs w:val="21"/>
              </w:rPr>
              <w:t>2</w:t>
            </w:r>
          </w:p>
        </w:tc>
        <w:tc>
          <w:tcPr>
            <w:tcW w:w="1800" w:type="dxa"/>
            <w:vAlign w:val="center"/>
          </w:tcPr>
          <w:p>
            <w:pPr>
              <w:rPr>
                <w:szCs w:val="21"/>
              </w:rPr>
            </w:pPr>
            <w:r>
              <w:rPr>
                <w:szCs w:val="21"/>
              </w:rPr>
              <w:t>办公楼和露采场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5" w:type="dxa"/>
            <w:vMerge w:val="continue"/>
            <w:vAlign w:val="center"/>
          </w:tcPr>
          <w:p>
            <w:pPr>
              <w:rPr>
                <w:szCs w:val="21"/>
              </w:rPr>
            </w:pPr>
          </w:p>
        </w:tc>
        <w:tc>
          <w:tcPr>
            <w:tcW w:w="3018" w:type="dxa"/>
            <w:vAlign w:val="center"/>
          </w:tcPr>
          <w:p>
            <w:pPr>
              <w:rPr>
                <w:szCs w:val="21"/>
              </w:rPr>
            </w:pPr>
            <w:r>
              <w:rPr>
                <w:szCs w:val="21"/>
              </w:rPr>
              <w:t>严禁践踏草坪</w:t>
            </w:r>
          </w:p>
        </w:tc>
        <w:tc>
          <w:tcPr>
            <w:tcW w:w="1108" w:type="dxa"/>
            <w:vAlign w:val="center"/>
          </w:tcPr>
          <w:p>
            <w:pPr>
              <w:rPr>
                <w:szCs w:val="21"/>
              </w:rPr>
            </w:pPr>
            <w:r>
              <w:rPr>
                <w:szCs w:val="21"/>
              </w:rPr>
              <w:t>块</w:t>
            </w:r>
          </w:p>
        </w:tc>
        <w:tc>
          <w:tcPr>
            <w:tcW w:w="1108" w:type="dxa"/>
            <w:vAlign w:val="center"/>
          </w:tcPr>
          <w:p>
            <w:pPr>
              <w:jc w:val="center"/>
              <w:rPr>
                <w:szCs w:val="21"/>
              </w:rPr>
            </w:pPr>
            <w:r>
              <w:rPr>
                <w:szCs w:val="21"/>
              </w:rPr>
              <w:t>1</w:t>
            </w:r>
          </w:p>
        </w:tc>
        <w:tc>
          <w:tcPr>
            <w:tcW w:w="1800" w:type="dxa"/>
            <w:vAlign w:val="center"/>
          </w:tcPr>
          <w:p>
            <w:pPr>
              <w:rPr>
                <w:szCs w:val="21"/>
              </w:rPr>
            </w:pPr>
            <w:r>
              <w:rPr>
                <w:szCs w:val="21"/>
              </w:rPr>
              <w:t>植被绿化区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5" w:type="dxa"/>
            <w:vMerge w:val="continue"/>
            <w:vAlign w:val="center"/>
          </w:tcPr>
          <w:p>
            <w:pPr>
              <w:rPr>
                <w:szCs w:val="21"/>
              </w:rPr>
            </w:pPr>
          </w:p>
        </w:tc>
        <w:tc>
          <w:tcPr>
            <w:tcW w:w="3018" w:type="dxa"/>
            <w:vAlign w:val="center"/>
          </w:tcPr>
          <w:p>
            <w:pPr>
              <w:rPr>
                <w:szCs w:val="21"/>
              </w:rPr>
            </w:pPr>
            <w:r>
              <w:rPr>
                <w:szCs w:val="21"/>
              </w:rPr>
              <w:t>合计</w:t>
            </w:r>
          </w:p>
        </w:tc>
        <w:tc>
          <w:tcPr>
            <w:tcW w:w="1108" w:type="dxa"/>
            <w:vAlign w:val="center"/>
          </w:tcPr>
          <w:p>
            <w:pPr>
              <w:rPr>
                <w:szCs w:val="21"/>
              </w:rPr>
            </w:pPr>
            <w:r>
              <w:rPr>
                <w:szCs w:val="21"/>
              </w:rPr>
              <w:t>块</w:t>
            </w:r>
          </w:p>
        </w:tc>
        <w:tc>
          <w:tcPr>
            <w:tcW w:w="1108" w:type="dxa"/>
            <w:vAlign w:val="center"/>
          </w:tcPr>
          <w:p>
            <w:pPr>
              <w:jc w:val="center"/>
              <w:rPr>
                <w:szCs w:val="21"/>
              </w:rPr>
            </w:pPr>
            <w:r>
              <w:rPr>
                <w:szCs w:val="21"/>
              </w:rPr>
              <w:t>4</w:t>
            </w:r>
          </w:p>
        </w:tc>
        <w:tc>
          <w:tcPr>
            <w:tcW w:w="1800" w:type="dxa"/>
            <w:vAlign w:val="center"/>
          </w:tcPr>
          <w:p>
            <w:pPr>
              <w:rPr>
                <w:szCs w:val="21"/>
              </w:rPr>
            </w:pPr>
          </w:p>
        </w:tc>
      </w:tr>
    </w:tbl>
    <w:p>
      <w:pPr>
        <w:pStyle w:val="2"/>
      </w:pPr>
    </w:p>
    <w:p>
      <w:pPr>
        <w:spacing w:line="360" w:lineRule="auto"/>
        <w:jc w:val="center"/>
        <w:rPr>
          <w:sz w:val="24"/>
        </w:rPr>
      </w:pPr>
      <w:r>
        <w:rPr>
          <w:sz w:val="24"/>
        </w:rPr>
        <w:drawing>
          <wp:inline distT="0" distB="0" distL="0" distR="0">
            <wp:extent cx="5866130" cy="3865880"/>
            <wp:effectExtent l="9525" t="9525" r="10795" b="10795"/>
            <wp:docPr id="43" name="图片 25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1" descr="55"/>
                    <pic:cNvPicPr>
                      <a:picLocks noChangeAspect="1"/>
                    </pic:cNvPicPr>
                  </pic:nvPicPr>
                  <pic:blipFill>
                    <a:blip r:embed="rId40"/>
                    <a:srcRect b="10635"/>
                    <a:stretch>
                      <a:fillRect/>
                    </a:stretch>
                  </pic:blipFill>
                  <pic:spPr>
                    <a:xfrm>
                      <a:off x="0" y="0"/>
                      <a:ext cx="5883821" cy="3865880"/>
                    </a:xfrm>
                    <a:prstGeom prst="rect">
                      <a:avLst/>
                    </a:prstGeom>
                    <a:noFill/>
                    <a:ln w="9525" cmpd="sng">
                      <a:solidFill>
                        <a:schemeClr val="tx1"/>
                      </a:solidFill>
                      <a:prstDash val="solid"/>
                    </a:ln>
                  </pic:spPr>
                </pic:pic>
              </a:graphicData>
            </a:graphic>
          </wp:inline>
        </w:drawing>
      </w:r>
    </w:p>
    <w:p>
      <w:pPr>
        <w:spacing w:line="360" w:lineRule="auto"/>
        <w:jc w:val="center"/>
        <w:rPr>
          <w:sz w:val="24"/>
        </w:rPr>
      </w:pPr>
      <w:r>
        <w:rPr>
          <w:sz w:val="24"/>
        </w:rPr>
        <w:t>图4-1    标志牌示意图</w:t>
      </w:r>
    </w:p>
    <w:p>
      <w:pPr>
        <w:pStyle w:val="2"/>
      </w:pPr>
      <w:r>
        <w:rPr>
          <w:sz w:val="24"/>
        </w:rPr>
        <w:drawing>
          <wp:inline distT="0" distB="0" distL="0" distR="0">
            <wp:extent cx="2708910" cy="209296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2758192" cy="2131330"/>
                    </a:xfrm>
                    <a:prstGeom prst="rect">
                      <a:avLst/>
                    </a:prstGeom>
                  </pic:spPr>
                </pic:pic>
              </a:graphicData>
            </a:graphic>
          </wp:inline>
        </w:drawing>
      </w:r>
      <w:r>
        <w:rPr>
          <w:sz w:val="24"/>
        </w:rPr>
        <w:drawing>
          <wp:inline distT="0" distB="0" distL="0" distR="0">
            <wp:extent cx="2708910" cy="2124075"/>
            <wp:effectExtent l="0" t="0" r="0" b="9525"/>
            <wp:docPr id="41" name="图片 2"/>
            <wp:cNvGraphicFramePr/>
            <a:graphic xmlns:a="http://schemas.openxmlformats.org/drawingml/2006/main">
              <a:graphicData uri="http://schemas.openxmlformats.org/drawingml/2006/picture">
                <pic:pic xmlns:pic="http://schemas.openxmlformats.org/drawingml/2006/picture">
                  <pic:nvPicPr>
                    <pic:cNvPr id="41" name="图片 2"/>
                    <pic:cNvPicPr/>
                  </pic:nvPicPr>
                  <pic:blipFill>
                    <a:blip r:embed="rId42"/>
                    <a:stretch>
                      <a:fillRect/>
                    </a:stretch>
                  </pic:blipFill>
                  <pic:spPr>
                    <a:xfrm>
                      <a:off x="0" y="0"/>
                      <a:ext cx="2711903" cy="2126422"/>
                    </a:xfrm>
                    <a:prstGeom prst="rect">
                      <a:avLst/>
                    </a:prstGeom>
                    <a:noFill/>
                    <a:ln>
                      <a:noFill/>
                    </a:ln>
                  </pic:spPr>
                </pic:pic>
              </a:graphicData>
            </a:graphic>
          </wp:inline>
        </w:drawing>
      </w:r>
    </w:p>
    <w:p>
      <w:pPr>
        <w:spacing w:line="470" w:lineRule="exact"/>
        <w:jc w:val="center"/>
        <w:rPr>
          <w:sz w:val="24"/>
        </w:rPr>
      </w:pPr>
      <w:r>
        <w:rPr>
          <w:sz w:val="24"/>
        </w:rPr>
        <w:t>图4-2    宣传标语效果图</w:t>
      </w:r>
    </w:p>
    <w:p/>
    <w:tbl>
      <w:tblPr>
        <w:tblStyle w:val="34"/>
        <w:tblW w:w="8644" w:type="dxa"/>
        <w:jc w:val="center"/>
        <w:tblLayout w:type="autofit"/>
        <w:tblCellMar>
          <w:top w:w="0" w:type="dxa"/>
          <w:left w:w="108" w:type="dxa"/>
          <w:bottom w:w="0" w:type="dxa"/>
          <w:right w:w="108" w:type="dxa"/>
        </w:tblCellMar>
      </w:tblPr>
      <w:tblGrid>
        <w:gridCol w:w="1750"/>
        <w:gridCol w:w="1746"/>
        <w:gridCol w:w="1716"/>
        <w:gridCol w:w="1716"/>
        <w:gridCol w:w="1716"/>
      </w:tblGrid>
      <w:tr>
        <w:tblPrEx>
          <w:tblCellMar>
            <w:top w:w="0" w:type="dxa"/>
            <w:left w:w="108" w:type="dxa"/>
            <w:bottom w:w="0" w:type="dxa"/>
            <w:right w:w="108" w:type="dxa"/>
          </w:tblCellMar>
        </w:tblPrEx>
        <w:trPr>
          <w:trHeight w:val="1241" w:hRule="atLeast"/>
          <w:jc w:val="center"/>
        </w:trPr>
        <w:tc>
          <w:tcPr>
            <w:tcW w:w="1750" w:type="dxa"/>
            <w:shd w:val="clear" w:color="auto" w:fill="auto"/>
          </w:tcPr>
          <w:p>
            <w:pPr>
              <w:pStyle w:val="11"/>
              <w:widowControl/>
              <w:spacing w:before="120"/>
              <w:ind w:left="0" w:leftChars="0"/>
            </w:pPr>
            <w:r>
              <w:drawing>
                <wp:inline distT="0" distB="0" distL="0" distR="0">
                  <wp:extent cx="955040" cy="695960"/>
                  <wp:effectExtent l="19050" t="0" r="0" b="0"/>
                  <wp:docPr id="44" name="图片 65" descr="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5" descr="绿"/>
                          <pic:cNvPicPr>
                            <a:picLocks noChangeAspect="1" noChangeArrowheads="1"/>
                          </pic:cNvPicPr>
                        </pic:nvPicPr>
                        <pic:blipFill>
                          <a:blip r:embed="rId43" cstate="print"/>
                          <a:srcRect/>
                          <a:stretch>
                            <a:fillRect/>
                          </a:stretch>
                        </pic:blipFill>
                        <pic:spPr>
                          <a:xfrm>
                            <a:off x="0" y="0"/>
                            <a:ext cx="955040" cy="695960"/>
                          </a:xfrm>
                          <a:prstGeom prst="rect">
                            <a:avLst/>
                          </a:prstGeom>
                          <a:noFill/>
                          <a:ln w="9525">
                            <a:noFill/>
                            <a:miter lim="800000"/>
                            <a:headEnd/>
                            <a:tailEnd/>
                          </a:ln>
                        </pic:spPr>
                      </pic:pic>
                    </a:graphicData>
                  </a:graphic>
                </wp:inline>
              </w:drawing>
            </w:r>
          </w:p>
        </w:tc>
        <w:tc>
          <w:tcPr>
            <w:tcW w:w="1746" w:type="dxa"/>
            <w:shd w:val="clear" w:color="auto" w:fill="auto"/>
          </w:tcPr>
          <w:p>
            <w:pPr>
              <w:pStyle w:val="11"/>
              <w:widowControl/>
              <w:spacing w:before="120"/>
              <w:ind w:left="0" w:leftChars="0"/>
            </w:pPr>
            <w:r>
              <w:drawing>
                <wp:inline distT="0" distB="0" distL="0" distR="0">
                  <wp:extent cx="944880" cy="670560"/>
                  <wp:effectExtent l="19050" t="0" r="7620" b="0"/>
                  <wp:docPr id="48" name="图片 66" descr="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6" descr="水"/>
                          <pic:cNvPicPr>
                            <a:picLocks noChangeAspect="1" noChangeArrowheads="1"/>
                          </pic:cNvPicPr>
                        </pic:nvPicPr>
                        <pic:blipFill>
                          <a:blip r:embed="rId44" cstate="print"/>
                          <a:srcRect/>
                          <a:stretch>
                            <a:fillRect/>
                          </a:stretch>
                        </pic:blipFill>
                        <pic:spPr>
                          <a:xfrm>
                            <a:off x="0" y="0"/>
                            <a:ext cx="944880" cy="67056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49" name="图片 86" descr="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6" descr="青"/>
                          <pic:cNvPicPr>
                            <a:picLocks noChangeAspect="1" noChangeArrowheads="1"/>
                          </pic:cNvPicPr>
                        </pic:nvPicPr>
                        <pic:blipFill>
                          <a:blip r:embed="rId45"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50" name="图片 88" descr="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8" descr="山"/>
                          <pic:cNvPicPr>
                            <a:picLocks noChangeAspect="1" noChangeArrowheads="1"/>
                          </pic:cNvPicPr>
                        </pic:nvPicPr>
                        <pic:blipFill>
                          <a:blip r:embed="rId46"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55" name="图片 89" descr="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9" descr="涵"/>
                          <pic:cNvPicPr>
                            <a:picLocks noChangeAspect="1" noChangeArrowheads="1"/>
                          </pic:cNvPicPr>
                        </pic:nvPicPr>
                        <pic:blipFill>
                          <a:blip r:embed="rId47"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1283" w:hRule="atLeast"/>
          <w:jc w:val="center"/>
        </w:trPr>
        <w:tc>
          <w:tcPr>
            <w:tcW w:w="1750" w:type="dxa"/>
            <w:shd w:val="clear" w:color="auto" w:fill="auto"/>
          </w:tcPr>
          <w:p>
            <w:pPr>
              <w:pStyle w:val="11"/>
              <w:widowControl/>
              <w:spacing w:before="120"/>
              <w:ind w:left="0" w:leftChars="0"/>
            </w:pPr>
            <w:r>
              <w:drawing>
                <wp:inline distT="0" distB="0" distL="0" distR="0">
                  <wp:extent cx="944880" cy="716280"/>
                  <wp:effectExtent l="19050" t="0" r="7620" b="0"/>
                  <wp:docPr id="56" name="图片 90" descr="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0" descr="养"/>
                          <pic:cNvPicPr>
                            <a:picLocks noChangeAspect="1" noChangeArrowheads="1"/>
                          </pic:cNvPicPr>
                        </pic:nvPicPr>
                        <pic:blipFill>
                          <a:blip r:embed="rId48" cstate="print"/>
                          <a:srcRect/>
                          <a:stretch>
                            <a:fillRect/>
                          </a:stretch>
                        </pic:blipFill>
                        <pic:spPr>
                          <a:xfrm>
                            <a:off x="0" y="0"/>
                            <a:ext cx="944880" cy="716280"/>
                          </a:xfrm>
                          <a:prstGeom prst="rect">
                            <a:avLst/>
                          </a:prstGeom>
                          <a:noFill/>
                          <a:ln w="9525">
                            <a:noFill/>
                            <a:miter lim="800000"/>
                            <a:headEnd/>
                            <a:tailEnd/>
                          </a:ln>
                        </pic:spPr>
                      </pic:pic>
                    </a:graphicData>
                  </a:graphic>
                </wp:inline>
              </w:drawing>
            </w:r>
          </w:p>
        </w:tc>
        <w:tc>
          <w:tcPr>
            <w:tcW w:w="1746" w:type="dxa"/>
            <w:shd w:val="clear" w:color="auto" w:fill="auto"/>
          </w:tcPr>
          <w:p>
            <w:pPr>
              <w:pStyle w:val="11"/>
              <w:widowControl/>
              <w:spacing w:before="120"/>
              <w:ind w:left="0" w:leftChars="0"/>
            </w:pPr>
            <w:r>
              <w:drawing>
                <wp:inline distT="0" distB="0" distL="0" distR="0">
                  <wp:extent cx="944880" cy="665480"/>
                  <wp:effectExtent l="19050" t="0" r="7620" b="0"/>
                  <wp:docPr id="58" name="图片 91" descr="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1" descr="民"/>
                          <pic:cNvPicPr>
                            <a:picLocks noChangeAspect="1" noChangeArrowheads="1"/>
                          </pic:cNvPicPr>
                        </pic:nvPicPr>
                        <pic:blipFill>
                          <a:blip r:embed="rId49" cstate="print"/>
                          <a:srcRect/>
                          <a:stretch>
                            <a:fillRect/>
                          </a:stretch>
                        </pic:blipFill>
                        <pic:spPr>
                          <a:xfrm>
                            <a:off x="0" y="0"/>
                            <a:ext cx="944880" cy="66548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71" name="图片 92" descr="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2" descr="生"/>
                          <pic:cNvPicPr>
                            <a:picLocks noChangeAspect="1" noChangeArrowheads="1"/>
                          </pic:cNvPicPr>
                        </pic:nvPicPr>
                        <pic:blipFill>
                          <a:blip r:embed="rId50"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59" name="图片 94" descr="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4" descr="福"/>
                          <pic:cNvPicPr>
                            <a:picLocks noChangeAspect="1" noChangeArrowheads="1"/>
                          </pic:cNvPicPr>
                        </pic:nvPicPr>
                        <pic:blipFill>
                          <a:blip r:embed="rId51"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c>
          <w:tcPr>
            <w:tcW w:w="1716" w:type="dxa"/>
            <w:shd w:val="clear" w:color="auto" w:fill="auto"/>
          </w:tcPr>
          <w:p>
            <w:pPr>
              <w:pStyle w:val="11"/>
              <w:widowControl/>
              <w:spacing w:before="120"/>
              <w:ind w:left="0" w:leftChars="0"/>
            </w:pPr>
            <w:r>
              <w:drawing>
                <wp:inline distT="0" distB="0" distL="0" distR="0">
                  <wp:extent cx="929640" cy="655320"/>
                  <wp:effectExtent l="19050" t="0" r="3810" b="0"/>
                  <wp:docPr id="16" name="图片 95" descr="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5" descr="祉"/>
                          <pic:cNvPicPr>
                            <a:picLocks noChangeAspect="1" noChangeArrowheads="1"/>
                          </pic:cNvPicPr>
                        </pic:nvPicPr>
                        <pic:blipFill>
                          <a:blip r:embed="rId52" cstate="print"/>
                          <a:srcRect/>
                          <a:stretch>
                            <a:fillRect/>
                          </a:stretch>
                        </pic:blipFill>
                        <pic:spPr>
                          <a:xfrm>
                            <a:off x="0" y="0"/>
                            <a:ext cx="929640" cy="655320"/>
                          </a:xfrm>
                          <a:prstGeom prst="rect">
                            <a:avLst/>
                          </a:prstGeom>
                          <a:noFill/>
                          <a:ln w="9525">
                            <a:noFill/>
                            <a:miter lim="800000"/>
                            <a:headEnd/>
                            <a:tailEnd/>
                          </a:ln>
                        </pic:spPr>
                      </pic:pic>
                    </a:graphicData>
                  </a:graphic>
                </wp:inline>
              </w:drawing>
            </w:r>
          </w:p>
        </w:tc>
      </w:tr>
    </w:tbl>
    <w:p>
      <w:pPr>
        <w:spacing w:line="360" w:lineRule="auto"/>
        <w:jc w:val="center"/>
        <w:rPr>
          <w:szCs w:val="21"/>
        </w:rPr>
      </w:pPr>
      <w:r>
        <w:rPr>
          <w:szCs w:val="21"/>
        </w:rPr>
        <w:t>图4-3    矿山生态环境保护宣传标语示例</w:t>
      </w:r>
    </w:p>
    <w:p>
      <w:pPr>
        <w:pStyle w:val="5"/>
        <w:spacing w:before="0" w:after="0" w:line="360" w:lineRule="auto"/>
        <w:jc w:val="left"/>
        <w:rPr>
          <w:b w:val="0"/>
          <w:bCs w:val="0"/>
          <w:sz w:val="24"/>
          <w:szCs w:val="24"/>
        </w:rPr>
      </w:pPr>
      <w:r>
        <w:rPr>
          <w:b w:val="0"/>
          <w:bCs w:val="0"/>
          <w:sz w:val="24"/>
          <w:szCs w:val="24"/>
        </w:rPr>
        <w:t>（二）生态修复工程</w:t>
      </w:r>
    </w:p>
    <w:p>
      <w:pPr>
        <w:spacing w:line="470" w:lineRule="exact"/>
        <w:ind w:firstLine="480" w:firstLineChars="200"/>
        <w:rPr>
          <w:sz w:val="24"/>
        </w:rPr>
      </w:pPr>
      <w:r>
        <w:rPr>
          <w:sz w:val="24"/>
        </w:rPr>
        <w:t>1、地形地貌景观修复工程</w:t>
      </w:r>
    </w:p>
    <w:p>
      <w:pPr>
        <w:spacing w:line="470" w:lineRule="exact"/>
        <w:ind w:firstLine="480" w:firstLineChars="200"/>
        <w:rPr>
          <w:sz w:val="24"/>
        </w:rPr>
      </w:pPr>
      <w:r>
        <w:rPr>
          <w:sz w:val="24"/>
        </w:rPr>
        <w:t>目前矿山已完成了绿色矿山建设且工业广场及矿部已办理建设用地手续，本次不在对矿部、工业场地区生产时期地形地貌景观进行专门设计。闭坑后矿区景观修复工程主要是采场边坡的景观修复。应遵守生态优先、因地制宜、就地取材的原则，强调“自然的植物群落”、“与周边环境和谐共生”，主要是采取覆土土壤重构、修坡平整等对地形景观改造，后开展植被重构工程，恢复植被，营造与周边和谐的景观。而闭坑后采场边坡的景观修复将在“土地复垦与生态多样性修复工程”中一同阐述，不进行专项设计。</w:t>
      </w:r>
    </w:p>
    <w:p>
      <w:pPr>
        <w:spacing w:line="470" w:lineRule="exact"/>
        <w:ind w:firstLine="480" w:firstLineChars="200"/>
        <w:rPr>
          <w:sz w:val="24"/>
        </w:rPr>
      </w:pPr>
      <w:r>
        <w:rPr>
          <w:sz w:val="24"/>
        </w:rPr>
        <w:t>2、土地复垦与生态多样性恢复工程</w:t>
      </w:r>
    </w:p>
    <w:p>
      <w:pPr>
        <w:spacing w:line="470" w:lineRule="exact"/>
        <w:ind w:firstLine="480" w:firstLineChars="200"/>
        <w:rPr>
          <w:sz w:val="24"/>
        </w:rPr>
      </w:pPr>
      <w:r>
        <w:rPr>
          <w:sz w:val="24"/>
        </w:rPr>
        <w:t>（1）土地复垦单元划分</w:t>
      </w:r>
    </w:p>
    <w:p>
      <w:pPr>
        <w:adjustRightInd w:val="0"/>
        <w:snapToGrid w:val="0"/>
        <w:spacing w:line="440" w:lineRule="exact"/>
        <w:ind w:firstLine="480" w:firstLineChars="200"/>
        <w:rPr>
          <w:sz w:val="24"/>
        </w:rPr>
      </w:pPr>
      <w:r>
        <w:rPr>
          <w:sz w:val="24"/>
        </w:rPr>
        <w:t>依据矿山生态问题识别和诊断结果，矿山土地复垦单元划分为：露采场、工业广场、矿部。</w:t>
      </w:r>
    </w:p>
    <w:p>
      <w:pPr>
        <w:spacing w:line="470" w:lineRule="exact"/>
        <w:ind w:firstLine="480" w:firstLineChars="200"/>
        <w:rPr>
          <w:sz w:val="24"/>
        </w:rPr>
      </w:pPr>
      <w:r>
        <w:rPr>
          <w:sz w:val="24"/>
        </w:rPr>
        <w:t>（2）土地复垦方向</w:t>
      </w:r>
    </w:p>
    <w:p>
      <w:pPr>
        <w:spacing w:line="470" w:lineRule="exact"/>
        <w:ind w:firstLine="480" w:firstLineChars="200"/>
      </w:pPr>
      <w:r>
        <w:rPr>
          <w:sz w:val="24"/>
        </w:rPr>
        <w:t>矿山开采过程中及开采完毕后，根据土地复垦适宜性评价（表4-2），结合国土空间规划、地质环境条件类型和开采规模，根据走访调查当地居民及村委会意愿，工业广场</w:t>
      </w:r>
      <w:r>
        <w:rPr>
          <w:rFonts w:hint="eastAsia"/>
          <w:sz w:val="24"/>
        </w:rPr>
        <w:t>部分</w:t>
      </w:r>
      <w:r>
        <w:rPr>
          <w:sz w:val="24"/>
        </w:rPr>
        <w:t>已办理建设用地手续无需复垦，</w:t>
      </w:r>
      <w:r>
        <w:rPr>
          <w:rFonts w:hint="eastAsia"/>
          <w:sz w:val="24"/>
        </w:rPr>
        <w:t>部分无相关手续修复为林地，</w:t>
      </w:r>
      <w:r>
        <w:rPr>
          <w:sz w:val="24"/>
        </w:rPr>
        <w:t>总体定位以恢复生态系统为主</w:t>
      </w:r>
    </w:p>
    <w:p>
      <w:pPr>
        <w:ind w:firstLine="1680" w:firstLineChars="700"/>
        <w:rPr>
          <w:sz w:val="24"/>
        </w:rPr>
      </w:pPr>
    </w:p>
    <w:p>
      <w:pPr>
        <w:ind w:firstLine="1680" w:firstLineChars="700"/>
        <w:rPr>
          <w:sz w:val="24"/>
        </w:rPr>
      </w:pPr>
      <w:r>
        <w:rPr>
          <w:sz w:val="24"/>
        </w:rPr>
        <w:t>表4-2    复垦土地的适宜性评价结果及复垦方向一览表</w:t>
      </w:r>
    </w:p>
    <w:tbl>
      <w:tblPr>
        <w:tblStyle w:val="35"/>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2013"/>
        <w:gridCol w:w="817"/>
        <w:gridCol w:w="855"/>
        <w:gridCol w:w="738"/>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1" w:type="dxa"/>
            <w:vMerge w:val="restart"/>
            <w:vAlign w:val="center"/>
          </w:tcPr>
          <w:p>
            <w:pPr>
              <w:adjustRightInd w:val="0"/>
              <w:snapToGrid w:val="0"/>
              <w:jc w:val="center"/>
              <w:rPr>
                <w:kern w:val="0"/>
                <w:sz w:val="20"/>
                <w:szCs w:val="21"/>
              </w:rPr>
            </w:pPr>
            <w:bookmarkStart w:id="70" w:name="_Hlk121350350"/>
            <w:r>
              <w:rPr>
                <w:kern w:val="0"/>
                <w:sz w:val="20"/>
                <w:szCs w:val="21"/>
              </w:rPr>
              <w:t>评价单元</w:t>
            </w:r>
          </w:p>
          <w:p>
            <w:pPr>
              <w:adjustRightInd w:val="0"/>
              <w:snapToGrid w:val="0"/>
              <w:jc w:val="center"/>
              <w:rPr>
                <w:kern w:val="0"/>
                <w:sz w:val="20"/>
                <w:szCs w:val="21"/>
              </w:rPr>
            </w:pPr>
            <w:r>
              <w:rPr>
                <w:kern w:val="0"/>
                <w:sz w:val="20"/>
                <w:szCs w:val="21"/>
              </w:rPr>
              <w:t>（复垦对象）</w:t>
            </w:r>
          </w:p>
        </w:tc>
        <w:tc>
          <w:tcPr>
            <w:tcW w:w="2013" w:type="dxa"/>
            <w:vMerge w:val="restart"/>
            <w:vAlign w:val="center"/>
          </w:tcPr>
          <w:p>
            <w:pPr>
              <w:adjustRightInd w:val="0"/>
              <w:snapToGrid w:val="0"/>
              <w:jc w:val="center"/>
              <w:rPr>
                <w:kern w:val="0"/>
                <w:sz w:val="20"/>
                <w:szCs w:val="21"/>
              </w:rPr>
            </w:pPr>
            <w:r>
              <w:rPr>
                <w:kern w:val="0"/>
                <w:sz w:val="20"/>
                <w:szCs w:val="21"/>
              </w:rPr>
              <w:t>破坏前土地类型</w:t>
            </w:r>
          </w:p>
        </w:tc>
        <w:tc>
          <w:tcPr>
            <w:tcW w:w="3260" w:type="dxa"/>
            <w:gridSpan w:val="4"/>
            <w:vAlign w:val="center"/>
          </w:tcPr>
          <w:p>
            <w:pPr>
              <w:adjustRightInd w:val="0"/>
              <w:snapToGrid w:val="0"/>
              <w:jc w:val="center"/>
              <w:rPr>
                <w:kern w:val="0"/>
                <w:sz w:val="20"/>
                <w:szCs w:val="21"/>
              </w:rPr>
            </w:pPr>
            <w:r>
              <w:rPr>
                <w:kern w:val="0"/>
                <w:sz w:val="20"/>
                <w:szCs w:val="21"/>
              </w:rPr>
              <w:t>适宜性等级</w:t>
            </w:r>
          </w:p>
        </w:tc>
        <w:tc>
          <w:tcPr>
            <w:tcW w:w="1134" w:type="dxa"/>
            <w:vMerge w:val="restart"/>
            <w:vAlign w:val="center"/>
          </w:tcPr>
          <w:p>
            <w:pPr>
              <w:adjustRightInd w:val="0"/>
              <w:snapToGrid w:val="0"/>
              <w:jc w:val="center"/>
              <w:rPr>
                <w:kern w:val="0"/>
                <w:sz w:val="20"/>
                <w:szCs w:val="21"/>
              </w:rPr>
            </w:pPr>
            <w:r>
              <w:rPr>
                <w:kern w:val="0"/>
                <w:sz w:val="20"/>
                <w:szCs w:val="21"/>
              </w:rPr>
              <w:t>复垦后土地类型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1" w:type="dxa"/>
            <w:vMerge w:val="continue"/>
            <w:vAlign w:val="center"/>
          </w:tcPr>
          <w:p>
            <w:pPr>
              <w:adjustRightInd w:val="0"/>
              <w:snapToGrid w:val="0"/>
              <w:jc w:val="center"/>
              <w:rPr>
                <w:kern w:val="0"/>
                <w:sz w:val="20"/>
                <w:szCs w:val="21"/>
              </w:rPr>
            </w:pPr>
          </w:p>
        </w:tc>
        <w:tc>
          <w:tcPr>
            <w:tcW w:w="2013" w:type="dxa"/>
            <w:vMerge w:val="continue"/>
            <w:vAlign w:val="center"/>
          </w:tcPr>
          <w:p>
            <w:pPr>
              <w:adjustRightInd w:val="0"/>
              <w:snapToGrid w:val="0"/>
              <w:jc w:val="center"/>
              <w:rPr>
                <w:kern w:val="0"/>
                <w:sz w:val="20"/>
                <w:szCs w:val="21"/>
              </w:rPr>
            </w:pPr>
          </w:p>
        </w:tc>
        <w:tc>
          <w:tcPr>
            <w:tcW w:w="817" w:type="dxa"/>
            <w:vAlign w:val="center"/>
          </w:tcPr>
          <w:p>
            <w:pPr>
              <w:adjustRightInd w:val="0"/>
              <w:snapToGrid w:val="0"/>
              <w:jc w:val="center"/>
              <w:rPr>
                <w:kern w:val="0"/>
                <w:sz w:val="20"/>
                <w:szCs w:val="21"/>
              </w:rPr>
            </w:pPr>
            <w:r>
              <w:rPr>
                <w:kern w:val="0"/>
                <w:sz w:val="20"/>
                <w:szCs w:val="21"/>
              </w:rPr>
              <w:t>水田</w:t>
            </w:r>
          </w:p>
        </w:tc>
        <w:tc>
          <w:tcPr>
            <w:tcW w:w="855" w:type="dxa"/>
            <w:vAlign w:val="center"/>
          </w:tcPr>
          <w:p>
            <w:pPr>
              <w:adjustRightInd w:val="0"/>
              <w:snapToGrid w:val="0"/>
              <w:jc w:val="center"/>
              <w:rPr>
                <w:kern w:val="0"/>
                <w:sz w:val="20"/>
                <w:szCs w:val="21"/>
              </w:rPr>
            </w:pPr>
            <w:r>
              <w:rPr>
                <w:kern w:val="0"/>
                <w:sz w:val="20"/>
                <w:szCs w:val="21"/>
              </w:rPr>
              <w:t>旱地</w:t>
            </w:r>
          </w:p>
        </w:tc>
        <w:tc>
          <w:tcPr>
            <w:tcW w:w="738" w:type="dxa"/>
            <w:vAlign w:val="center"/>
          </w:tcPr>
          <w:p>
            <w:pPr>
              <w:adjustRightInd w:val="0"/>
              <w:snapToGrid w:val="0"/>
              <w:jc w:val="center"/>
              <w:rPr>
                <w:kern w:val="0"/>
                <w:sz w:val="20"/>
                <w:szCs w:val="21"/>
              </w:rPr>
            </w:pPr>
            <w:r>
              <w:rPr>
                <w:kern w:val="0"/>
                <w:sz w:val="20"/>
                <w:szCs w:val="21"/>
              </w:rPr>
              <w:t>草地</w:t>
            </w:r>
          </w:p>
        </w:tc>
        <w:tc>
          <w:tcPr>
            <w:tcW w:w="850" w:type="dxa"/>
            <w:vAlign w:val="center"/>
          </w:tcPr>
          <w:p>
            <w:pPr>
              <w:adjustRightInd w:val="0"/>
              <w:snapToGrid w:val="0"/>
              <w:jc w:val="center"/>
              <w:rPr>
                <w:kern w:val="0"/>
                <w:sz w:val="20"/>
                <w:szCs w:val="21"/>
              </w:rPr>
            </w:pPr>
            <w:r>
              <w:rPr>
                <w:kern w:val="0"/>
                <w:sz w:val="20"/>
                <w:szCs w:val="21"/>
              </w:rPr>
              <w:t>林地</w:t>
            </w:r>
          </w:p>
        </w:tc>
        <w:tc>
          <w:tcPr>
            <w:tcW w:w="1134" w:type="dxa"/>
            <w:vMerge w:val="continue"/>
            <w:vAlign w:val="center"/>
          </w:tcPr>
          <w:p>
            <w:pPr>
              <w:adjustRightInd w:val="0"/>
              <w:snapToGrid w:val="0"/>
              <w:jc w:val="center"/>
              <w:rPr>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271" w:type="dxa"/>
            <w:vMerge w:val="restart"/>
            <w:vAlign w:val="center"/>
          </w:tcPr>
          <w:p>
            <w:pPr>
              <w:adjustRightInd w:val="0"/>
              <w:snapToGrid w:val="0"/>
              <w:jc w:val="center"/>
              <w:rPr>
                <w:kern w:val="0"/>
                <w:sz w:val="20"/>
                <w:szCs w:val="21"/>
              </w:rPr>
            </w:pPr>
            <w:r>
              <w:rPr>
                <w:kern w:val="0"/>
                <w:sz w:val="20"/>
                <w:szCs w:val="21"/>
              </w:rPr>
              <w:t>露采场</w:t>
            </w:r>
          </w:p>
        </w:tc>
        <w:tc>
          <w:tcPr>
            <w:tcW w:w="2013" w:type="dxa"/>
            <w:vMerge w:val="restart"/>
            <w:vAlign w:val="center"/>
          </w:tcPr>
          <w:p>
            <w:pPr>
              <w:adjustRightInd w:val="0"/>
              <w:snapToGrid w:val="0"/>
              <w:jc w:val="center"/>
              <w:rPr>
                <w:kern w:val="0"/>
                <w:sz w:val="20"/>
                <w:szCs w:val="21"/>
              </w:rPr>
            </w:pPr>
            <w:r>
              <w:rPr>
                <w:kern w:val="0"/>
                <w:sz w:val="20"/>
                <w:szCs w:val="21"/>
              </w:rPr>
              <w:t>林地、采矿用地</w:t>
            </w:r>
          </w:p>
        </w:tc>
        <w:tc>
          <w:tcPr>
            <w:tcW w:w="817" w:type="dxa"/>
            <w:vMerge w:val="restart"/>
            <w:vAlign w:val="center"/>
          </w:tcPr>
          <w:p>
            <w:pPr>
              <w:adjustRightInd w:val="0"/>
              <w:snapToGrid w:val="0"/>
              <w:jc w:val="center"/>
              <w:rPr>
                <w:kern w:val="0"/>
                <w:sz w:val="20"/>
                <w:szCs w:val="21"/>
              </w:rPr>
            </w:pPr>
            <w:r>
              <w:rPr>
                <w:kern w:val="0"/>
                <w:sz w:val="20"/>
                <w:szCs w:val="21"/>
              </w:rPr>
              <w:t>4</w:t>
            </w:r>
          </w:p>
        </w:tc>
        <w:tc>
          <w:tcPr>
            <w:tcW w:w="855" w:type="dxa"/>
            <w:vMerge w:val="restart"/>
            <w:vAlign w:val="center"/>
          </w:tcPr>
          <w:p>
            <w:pPr>
              <w:adjustRightInd w:val="0"/>
              <w:snapToGrid w:val="0"/>
              <w:jc w:val="center"/>
              <w:rPr>
                <w:kern w:val="0"/>
                <w:sz w:val="20"/>
                <w:szCs w:val="21"/>
              </w:rPr>
            </w:pPr>
            <w:r>
              <w:rPr>
                <w:kern w:val="0"/>
                <w:sz w:val="20"/>
                <w:szCs w:val="21"/>
              </w:rPr>
              <w:t>3</w:t>
            </w:r>
          </w:p>
        </w:tc>
        <w:tc>
          <w:tcPr>
            <w:tcW w:w="738" w:type="dxa"/>
            <w:vMerge w:val="restart"/>
            <w:vAlign w:val="center"/>
          </w:tcPr>
          <w:p>
            <w:pPr>
              <w:adjustRightInd w:val="0"/>
              <w:snapToGrid w:val="0"/>
              <w:jc w:val="center"/>
              <w:rPr>
                <w:kern w:val="0"/>
                <w:sz w:val="20"/>
                <w:szCs w:val="21"/>
              </w:rPr>
            </w:pPr>
            <w:r>
              <w:rPr>
                <w:kern w:val="0"/>
                <w:sz w:val="20"/>
                <w:szCs w:val="21"/>
              </w:rPr>
              <w:t>2</w:t>
            </w:r>
          </w:p>
        </w:tc>
        <w:tc>
          <w:tcPr>
            <w:tcW w:w="850" w:type="dxa"/>
            <w:vMerge w:val="restart"/>
            <w:vAlign w:val="center"/>
          </w:tcPr>
          <w:p>
            <w:pPr>
              <w:adjustRightInd w:val="0"/>
              <w:snapToGrid w:val="0"/>
              <w:jc w:val="center"/>
              <w:rPr>
                <w:kern w:val="0"/>
                <w:sz w:val="20"/>
                <w:szCs w:val="21"/>
              </w:rPr>
            </w:pPr>
            <w:r>
              <w:rPr>
                <w:kern w:val="0"/>
                <w:sz w:val="20"/>
                <w:szCs w:val="21"/>
              </w:rPr>
              <w:t>2</w:t>
            </w:r>
          </w:p>
        </w:tc>
        <w:tc>
          <w:tcPr>
            <w:tcW w:w="1134" w:type="dxa"/>
            <w:vAlign w:val="center"/>
          </w:tcPr>
          <w:p>
            <w:pPr>
              <w:adjustRightInd w:val="0"/>
              <w:snapToGrid w:val="0"/>
              <w:jc w:val="center"/>
              <w:rPr>
                <w:kern w:val="0"/>
                <w:sz w:val="20"/>
                <w:szCs w:val="21"/>
              </w:rPr>
            </w:pPr>
            <w:r>
              <w:rPr>
                <w:kern w:val="0"/>
                <w:sz w:val="20"/>
                <w:szCs w:val="21"/>
              </w:rPr>
              <w:t>乔灌林地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2271" w:type="dxa"/>
            <w:vMerge w:val="continue"/>
            <w:vAlign w:val="center"/>
          </w:tcPr>
          <w:p>
            <w:pPr>
              <w:adjustRightInd w:val="0"/>
              <w:snapToGrid w:val="0"/>
              <w:jc w:val="center"/>
              <w:rPr>
                <w:kern w:val="0"/>
                <w:sz w:val="20"/>
                <w:szCs w:val="21"/>
              </w:rPr>
            </w:pPr>
          </w:p>
        </w:tc>
        <w:tc>
          <w:tcPr>
            <w:tcW w:w="2013" w:type="dxa"/>
            <w:vMerge w:val="continue"/>
            <w:vAlign w:val="center"/>
          </w:tcPr>
          <w:p>
            <w:pPr>
              <w:adjustRightInd w:val="0"/>
              <w:snapToGrid w:val="0"/>
              <w:jc w:val="center"/>
              <w:rPr>
                <w:kern w:val="0"/>
                <w:sz w:val="20"/>
                <w:szCs w:val="21"/>
              </w:rPr>
            </w:pPr>
          </w:p>
        </w:tc>
        <w:tc>
          <w:tcPr>
            <w:tcW w:w="817" w:type="dxa"/>
            <w:vMerge w:val="continue"/>
            <w:vAlign w:val="center"/>
          </w:tcPr>
          <w:p>
            <w:pPr>
              <w:adjustRightInd w:val="0"/>
              <w:snapToGrid w:val="0"/>
              <w:jc w:val="center"/>
              <w:rPr>
                <w:kern w:val="0"/>
                <w:sz w:val="20"/>
                <w:szCs w:val="21"/>
              </w:rPr>
            </w:pPr>
          </w:p>
        </w:tc>
        <w:tc>
          <w:tcPr>
            <w:tcW w:w="855" w:type="dxa"/>
            <w:vMerge w:val="continue"/>
            <w:vAlign w:val="center"/>
          </w:tcPr>
          <w:p>
            <w:pPr>
              <w:adjustRightInd w:val="0"/>
              <w:snapToGrid w:val="0"/>
              <w:jc w:val="center"/>
              <w:rPr>
                <w:kern w:val="0"/>
                <w:sz w:val="20"/>
                <w:szCs w:val="21"/>
              </w:rPr>
            </w:pPr>
          </w:p>
        </w:tc>
        <w:tc>
          <w:tcPr>
            <w:tcW w:w="738" w:type="dxa"/>
            <w:vMerge w:val="continue"/>
            <w:vAlign w:val="center"/>
          </w:tcPr>
          <w:p>
            <w:pPr>
              <w:adjustRightInd w:val="0"/>
              <w:snapToGrid w:val="0"/>
              <w:jc w:val="center"/>
              <w:rPr>
                <w:kern w:val="0"/>
                <w:sz w:val="20"/>
                <w:szCs w:val="21"/>
              </w:rPr>
            </w:pPr>
          </w:p>
        </w:tc>
        <w:tc>
          <w:tcPr>
            <w:tcW w:w="850" w:type="dxa"/>
            <w:vMerge w:val="continue"/>
            <w:vAlign w:val="center"/>
          </w:tcPr>
          <w:p>
            <w:pPr>
              <w:adjustRightInd w:val="0"/>
              <w:snapToGrid w:val="0"/>
              <w:jc w:val="center"/>
              <w:rPr>
                <w:kern w:val="0"/>
                <w:sz w:val="20"/>
                <w:szCs w:val="21"/>
              </w:rPr>
            </w:pPr>
          </w:p>
        </w:tc>
        <w:tc>
          <w:tcPr>
            <w:tcW w:w="1134" w:type="dxa"/>
            <w:vAlign w:val="center"/>
          </w:tcPr>
          <w:p>
            <w:pPr>
              <w:adjustRightInd w:val="0"/>
              <w:snapToGrid w:val="0"/>
              <w:jc w:val="center"/>
              <w:rPr>
                <w:kern w:val="0"/>
                <w:sz w:val="20"/>
                <w:szCs w:val="21"/>
              </w:rPr>
            </w:pPr>
            <w:r>
              <w:rPr>
                <w:kern w:val="0"/>
                <w:sz w:val="20"/>
                <w:szCs w:val="21"/>
              </w:rPr>
              <w:t>水塘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271" w:type="dxa"/>
            <w:vAlign w:val="center"/>
          </w:tcPr>
          <w:p>
            <w:pPr>
              <w:adjustRightInd w:val="0"/>
              <w:snapToGrid w:val="0"/>
              <w:jc w:val="center"/>
              <w:rPr>
                <w:kern w:val="0"/>
                <w:sz w:val="20"/>
                <w:szCs w:val="21"/>
              </w:rPr>
            </w:pPr>
            <w:r>
              <w:rPr>
                <w:kern w:val="0"/>
                <w:sz w:val="20"/>
                <w:szCs w:val="21"/>
              </w:rPr>
              <w:t>工业广场</w:t>
            </w:r>
          </w:p>
        </w:tc>
        <w:tc>
          <w:tcPr>
            <w:tcW w:w="2013" w:type="dxa"/>
            <w:vAlign w:val="center"/>
          </w:tcPr>
          <w:p>
            <w:pPr>
              <w:adjustRightInd w:val="0"/>
              <w:snapToGrid w:val="0"/>
              <w:jc w:val="center"/>
              <w:rPr>
                <w:kern w:val="0"/>
                <w:sz w:val="20"/>
                <w:szCs w:val="21"/>
              </w:rPr>
            </w:pPr>
            <w:r>
              <w:rPr>
                <w:kern w:val="0"/>
                <w:sz w:val="20"/>
                <w:szCs w:val="21"/>
              </w:rPr>
              <w:t>林地、采矿用地</w:t>
            </w:r>
          </w:p>
        </w:tc>
        <w:tc>
          <w:tcPr>
            <w:tcW w:w="817" w:type="dxa"/>
            <w:vAlign w:val="center"/>
          </w:tcPr>
          <w:p>
            <w:pPr>
              <w:adjustRightInd w:val="0"/>
              <w:snapToGrid w:val="0"/>
              <w:jc w:val="center"/>
              <w:rPr>
                <w:kern w:val="0"/>
                <w:sz w:val="20"/>
                <w:szCs w:val="21"/>
              </w:rPr>
            </w:pPr>
            <w:r>
              <w:rPr>
                <w:kern w:val="0"/>
                <w:sz w:val="20"/>
                <w:szCs w:val="21"/>
              </w:rPr>
              <w:t>4</w:t>
            </w:r>
          </w:p>
        </w:tc>
        <w:tc>
          <w:tcPr>
            <w:tcW w:w="855" w:type="dxa"/>
            <w:vAlign w:val="center"/>
          </w:tcPr>
          <w:p>
            <w:pPr>
              <w:adjustRightInd w:val="0"/>
              <w:snapToGrid w:val="0"/>
              <w:jc w:val="center"/>
              <w:rPr>
                <w:kern w:val="0"/>
                <w:sz w:val="20"/>
                <w:szCs w:val="21"/>
              </w:rPr>
            </w:pPr>
            <w:r>
              <w:rPr>
                <w:kern w:val="0"/>
                <w:sz w:val="20"/>
                <w:szCs w:val="21"/>
              </w:rPr>
              <w:t>3</w:t>
            </w:r>
          </w:p>
        </w:tc>
        <w:tc>
          <w:tcPr>
            <w:tcW w:w="738" w:type="dxa"/>
            <w:vAlign w:val="center"/>
          </w:tcPr>
          <w:p>
            <w:pPr>
              <w:adjustRightInd w:val="0"/>
              <w:snapToGrid w:val="0"/>
              <w:jc w:val="center"/>
              <w:rPr>
                <w:kern w:val="0"/>
                <w:sz w:val="20"/>
                <w:szCs w:val="21"/>
              </w:rPr>
            </w:pPr>
            <w:r>
              <w:rPr>
                <w:kern w:val="0"/>
                <w:sz w:val="20"/>
                <w:szCs w:val="21"/>
              </w:rPr>
              <w:t>2</w:t>
            </w:r>
          </w:p>
        </w:tc>
        <w:tc>
          <w:tcPr>
            <w:tcW w:w="850" w:type="dxa"/>
            <w:vAlign w:val="center"/>
          </w:tcPr>
          <w:p>
            <w:pPr>
              <w:adjustRightInd w:val="0"/>
              <w:snapToGrid w:val="0"/>
              <w:jc w:val="center"/>
              <w:rPr>
                <w:kern w:val="0"/>
                <w:sz w:val="20"/>
                <w:szCs w:val="21"/>
              </w:rPr>
            </w:pPr>
            <w:r>
              <w:rPr>
                <w:kern w:val="0"/>
                <w:sz w:val="20"/>
                <w:szCs w:val="21"/>
              </w:rPr>
              <w:t>2</w:t>
            </w:r>
          </w:p>
        </w:tc>
        <w:tc>
          <w:tcPr>
            <w:tcW w:w="1134" w:type="dxa"/>
            <w:vAlign w:val="center"/>
          </w:tcPr>
          <w:p>
            <w:pPr>
              <w:adjustRightInd w:val="0"/>
              <w:snapToGrid w:val="0"/>
              <w:jc w:val="center"/>
              <w:rPr>
                <w:kern w:val="0"/>
                <w:sz w:val="20"/>
                <w:szCs w:val="21"/>
              </w:rPr>
            </w:pPr>
            <w:r>
              <w:rPr>
                <w:kern w:val="0"/>
                <w:sz w:val="20"/>
                <w:szCs w:val="21"/>
              </w:rPr>
              <w:t>建设用地、林地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71" w:type="dxa"/>
            <w:vAlign w:val="center"/>
          </w:tcPr>
          <w:p>
            <w:pPr>
              <w:adjustRightInd w:val="0"/>
              <w:snapToGrid w:val="0"/>
              <w:jc w:val="center"/>
              <w:rPr>
                <w:kern w:val="0"/>
                <w:sz w:val="20"/>
                <w:szCs w:val="21"/>
              </w:rPr>
            </w:pPr>
            <w:r>
              <w:rPr>
                <w:kern w:val="0"/>
                <w:sz w:val="20"/>
                <w:szCs w:val="21"/>
              </w:rPr>
              <w:t>矿部</w:t>
            </w:r>
          </w:p>
        </w:tc>
        <w:tc>
          <w:tcPr>
            <w:tcW w:w="2013" w:type="dxa"/>
            <w:vAlign w:val="center"/>
          </w:tcPr>
          <w:p>
            <w:pPr>
              <w:adjustRightInd w:val="0"/>
              <w:snapToGrid w:val="0"/>
              <w:jc w:val="center"/>
              <w:rPr>
                <w:kern w:val="0"/>
                <w:sz w:val="20"/>
                <w:szCs w:val="21"/>
              </w:rPr>
            </w:pPr>
            <w:r>
              <w:rPr>
                <w:kern w:val="0"/>
                <w:sz w:val="20"/>
                <w:szCs w:val="21"/>
              </w:rPr>
              <w:t>水田、林地</w:t>
            </w:r>
          </w:p>
        </w:tc>
        <w:tc>
          <w:tcPr>
            <w:tcW w:w="817" w:type="dxa"/>
            <w:vAlign w:val="center"/>
          </w:tcPr>
          <w:p>
            <w:pPr>
              <w:adjustRightInd w:val="0"/>
              <w:snapToGrid w:val="0"/>
              <w:jc w:val="center"/>
              <w:rPr>
                <w:kern w:val="0"/>
                <w:sz w:val="20"/>
                <w:szCs w:val="21"/>
              </w:rPr>
            </w:pPr>
            <w:r>
              <w:rPr>
                <w:kern w:val="0"/>
                <w:sz w:val="20"/>
                <w:szCs w:val="21"/>
              </w:rPr>
              <w:t>4</w:t>
            </w:r>
          </w:p>
        </w:tc>
        <w:tc>
          <w:tcPr>
            <w:tcW w:w="855" w:type="dxa"/>
            <w:vAlign w:val="center"/>
          </w:tcPr>
          <w:p>
            <w:pPr>
              <w:adjustRightInd w:val="0"/>
              <w:snapToGrid w:val="0"/>
              <w:jc w:val="center"/>
              <w:rPr>
                <w:kern w:val="0"/>
                <w:sz w:val="20"/>
                <w:szCs w:val="21"/>
              </w:rPr>
            </w:pPr>
            <w:r>
              <w:rPr>
                <w:kern w:val="0"/>
                <w:sz w:val="20"/>
                <w:szCs w:val="21"/>
              </w:rPr>
              <w:t>3</w:t>
            </w:r>
          </w:p>
        </w:tc>
        <w:tc>
          <w:tcPr>
            <w:tcW w:w="738" w:type="dxa"/>
            <w:vAlign w:val="center"/>
          </w:tcPr>
          <w:p>
            <w:pPr>
              <w:adjustRightInd w:val="0"/>
              <w:snapToGrid w:val="0"/>
              <w:jc w:val="center"/>
              <w:rPr>
                <w:kern w:val="0"/>
                <w:sz w:val="20"/>
                <w:szCs w:val="21"/>
              </w:rPr>
            </w:pPr>
            <w:r>
              <w:rPr>
                <w:kern w:val="0"/>
                <w:sz w:val="20"/>
                <w:szCs w:val="21"/>
              </w:rPr>
              <w:t>2</w:t>
            </w:r>
          </w:p>
        </w:tc>
        <w:tc>
          <w:tcPr>
            <w:tcW w:w="850" w:type="dxa"/>
            <w:vAlign w:val="center"/>
          </w:tcPr>
          <w:p>
            <w:pPr>
              <w:adjustRightInd w:val="0"/>
              <w:snapToGrid w:val="0"/>
              <w:jc w:val="center"/>
              <w:rPr>
                <w:kern w:val="0"/>
                <w:sz w:val="20"/>
                <w:szCs w:val="21"/>
              </w:rPr>
            </w:pPr>
            <w:r>
              <w:rPr>
                <w:kern w:val="0"/>
                <w:sz w:val="20"/>
                <w:szCs w:val="21"/>
              </w:rPr>
              <w:t>2</w:t>
            </w:r>
          </w:p>
        </w:tc>
        <w:tc>
          <w:tcPr>
            <w:tcW w:w="1134" w:type="dxa"/>
            <w:vAlign w:val="center"/>
          </w:tcPr>
          <w:p>
            <w:pPr>
              <w:adjustRightInd w:val="0"/>
              <w:snapToGrid w:val="0"/>
              <w:jc w:val="center"/>
              <w:rPr>
                <w:kern w:val="0"/>
                <w:sz w:val="20"/>
                <w:szCs w:val="21"/>
              </w:rPr>
            </w:pPr>
            <w:r>
              <w:rPr>
                <w:kern w:val="0"/>
                <w:sz w:val="20"/>
                <w:szCs w:val="21"/>
              </w:rPr>
              <w:t>建设用地、林地</w:t>
            </w:r>
          </w:p>
        </w:tc>
      </w:tr>
      <w:bookmarkEnd w:id="70"/>
    </w:tbl>
    <w:p>
      <w:pPr>
        <w:adjustRightInd w:val="0"/>
        <w:snapToGrid w:val="0"/>
        <w:spacing w:line="440" w:lineRule="exact"/>
        <w:ind w:firstLine="480" w:firstLineChars="200"/>
        <w:rPr>
          <w:sz w:val="24"/>
        </w:rPr>
      </w:pPr>
      <w:r>
        <w:rPr>
          <w:sz w:val="24"/>
        </w:rPr>
        <w:t>根据开发利用方案，矿山采用山坡台阶式露天开采，露采场开采台阶斜面坡度较为陡峭，斜坡面较为光滑，在无法覆土的情况下，采用打入锚钉，挂上绿色土工网，种植爬藤的办法（详见大样图）。</w:t>
      </w:r>
    </w:p>
    <w:p>
      <w:pPr>
        <w:adjustRightInd w:val="0"/>
        <w:snapToGrid w:val="0"/>
        <w:spacing w:line="440" w:lineRule="exact"/>
        <w:ind w:firstLine="480" w:firstLineChars="200"/>
        <w:rPr>
          <w:sz w:val="24"/>
        </w:rPr>
      </w:pPr>
      <w:r>
        <w:rPr>
          <w:sz w:val="24"/>
        </w:rPr>
        <w:t>（3）土地复垦质量控制标准</w:t>
      </w:r>
    </w:p>
    <w:p>
      <w:pPr>
        <w:spacing w:line="470" w:lineRule="exact"/>
        <w:ind w:firstLine="480" w:firstLineChars="200"/>
        <w:rPr>
          <w:sz w:val="24"/>
        </w:rPr>
      </w:pPr>
      <w:r>
        <w:rPr>
          <w:sz w:val="24"/>
        </w:rPr>
        <w:t>根据《土地复垦质量控制标准》（TD/T1036-2013）中附录D.8的规定，结合本矿山情况，本方案采用的旱地、林地和草地复垦质量控制标准见表4-3。</w:t>
      </w:r>
    </w:p>
    <w:p>
      <w:pPr>
        <w:ind w:firstLine="480"/>
        <w:jc w:val="center"/>
        <w:rPr>
          <w:rStyle w:val="83"/>
          <w:rFonts w:ascii="Times New Roman" w:hAnsi="Times New Roman"/>
          <w:b w:val="0"/>
          <w:lang w:eastAsia="zh-CN"/>
        </w:rPr>
      </w:pPr>
    </w:p>
    <w:p>
      <w:pPr>
        <w:ind w:firstLine="480"/>
        <w:jc w:val="center"/>
        <w:rPr>
          <w:rStyle w:val="83"/>
          <w:rFonts w:ascii="Times New Roman" w:hAnsi="Times New Roman"/>
          <w:b w:val="0"/>
          <w:lang w:eastAsia="zh-CN"/>
        </w:rPr>
      </w:pPr>
      <w:r>
        <w:rPr>
          <w:rStyle w:val="83"/>
          <w:rFonts w:ascii="Times New Roman" w:hAnsi="Times New Roman"/>
          <w:b w:val="0"/>
          <w:lang w:eastAsia="zh-CN"/>
        </w:rPr>
        <w:t>表4-3    土 地 复 垦 质 量 控 制 标 准</w:t>
      </w:r>
    </w:p>
    <w:tbl>
      <w:tblPr>
        <w:tblStyle w:val="34"/>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1281"/>
        <w:gridCol w:w="2249"/>
        <w:gridCol w:w="242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13" w:type="dxa"/>
            <w:gridSpan w:val="2"/>
            <w:vAlign w:val="center"/>
          </w:tcPr>
          <w:p>
            <w:pPr>
              <w:pStyle w:val="14"/>
              <w:ind w:left="420" w:hanging="420"/>
              <w:jc w:val="center"/>
              <w:rPr>
                <w:rFonts w:ascii="Times New Roman" w:hAnsi="Times New Roman" w:cs="Times New Roman"/>
              </w:rPr>
            </w:pPr>
            <w:r>
              <w:rPr>
                <w:rFonts w:ascii="Times New Roman" w:hAnsi="Times New Roman" w:cs="Times New Roman"/>
              </w:rPr>
              <w:t>复垦方向</w:t>
            </w:r>
          </w:p>
        </w:tc>
        <w:tc>
          <w:tcPr>
            <w:tcW w:w="1281" w:type="dxa"/>
            <w:vAlign w:val="center"/>
          </w:tcPr>
          <w:p>
            <w:pPr>
              <w:pStyle w:val="14"/>
              <w:ind w:left="420" w:hanging="420"/>
              <w:jc w:val="center"/>
              <w:rPr>
                <w:rFonts w:ascii="Times New Roman" w:hAnsi="Times New Roman" w:cs="Times New Roman"/>
              </w:rPr>
            </w:pPr>
            <w:r>
              <w:rPr>
                <w:rFonts w:ascii="Times New Roman" w:hAnsi="Times New Roman" w:cs="Times New Roman"/>
              </w:rPr>
              <w:t>指标类型</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基本指标</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国家控制标准</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项目区控制标准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林地</w:t>
            </w:r>
          </w:p>
        </w:tc>
        <w:tc>
          <w:tcPr>
            <w:tcW w:w="709"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有</w:t>
            </w:r>
          </w:p>
          <w:p>
            <w:pPr>
              <w:pStyle w:val="14"/>
              <w:ind w:left="420" w:hanging="420"/>
              <w:jc w:val="center"/>
              <w:rPr>
                <w:rFonts w:ascii="Times New Roman" w:hAnsi="Times New Roman" w:cs="Times New Roman"/>
              </w:rPr>
            </w:pPr>
            <w:r>
              <w:rPr>
                <w:rFonts w:ascii="Times New Roman" w:hAnsi="Times New Roman" w:cs="Times New Roman"/>
              </w:rPr>
              <w:t>林地</w:t>
            </w:r>
          </w:p>
        </w:tc>
        <w:tc>
          <w:tcPr>
            <w:tcW w:w="1281"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土壤</w:t>
            </w:r>
          </w:p>
          <w:p>
            <w:pPr>
              <w:pStyle w:val="14"/>
              <w:ind w:left="420" w:hanging="420"/>
              <w:jc w:val="center"/>
              <w:rPr>
                <w:rFonts w:ascii="Times New Roman" w:hAnsi="Times New Roman" w:cs="Times New Roman"/>
              </w:rPr>
            </w:pPr>
            <w:r>
              <w:rPr>
                <w:rFonts w:ascii="Times New Roman" w:hAnsi="Times New Roman" w:cs="Times New Roman"/>
              </w:rPr>
              <w:t>质量</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有效土层厚度/cm</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≥30</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土壤容重/（g/cm</w:t>
            </w:r>
            <w:r>
              <w:rPr>
                <w:rFonts w:ascii="Times New Roman" w:hAnsi="Times New Roman" w:cs="Times New Roman"/>
                <w:vertAlign w:val="superscript"/>
              </w:rPr>
              <w:t>3</w:t>
            </w:r>
            <w:r>
              <w:rPr>
                <w:rFonts w:ascii="Times New Roman" w:hAnsi="Times New Roman" w:cs="Times New Roman"/>
              </w:rPr>
              <w:t>）</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≤1.5</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土壤质地</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砂土至壤质粘土</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砂土至壤质粘土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砾石含量/﹪</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≤50</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pH值</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5.0～8.0</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有机质/﹪</w:t>
            </w:r>
          </w:p>
        </w:tc>
        <w:tc>
          <w:tcPr>
            <w:tcW w:w="242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≥1</w:t>
            </w:r>
          </w:p>
        </w:tc>
        <w:tc>
          <w:tcPr>
            <w:tcW w:w="2390"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Align w:val="center"/>
          </w:tcPr>
          <w:p>
            <w:pPr>
              <w:pStyle w:val="14"/>
              <w:ind w:left="420" w:hanging="420"/>
              <w:jc w:val="center"/>
              <w:rPr>
                <w:rFonts w:ascii="Times New Roman" w:hAnsi="Times New Roman" w:cs="Times New Roman"/>
              </w:rPr>
            </w:pPr>
            <w:r>
              <w:rPr>
                <w:rFonts w:ascii="Times New Roman" w:hAnsi="Times New Roman" w:cs="Times New Roman"/>
              </w:rPr>
              <w:t>配套设施</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道路</w:t>
            </w:r>
          </w:p>
        </w:tc>
        <w:tc>
          <w:tcPr>
            <w:tcW w:w="4819" w:type="dxa"/>
            <w:gridSpan w:val="2"/>
            <w:vAlign w:val="center"/>
          </w:tcPr>
          <w:p>
            <w:pPr>
              <w:pStyle w:val="14"/>
              <w:ind w:left="420" w:hanging="420"/>
              <w:jc w:val="center"/>
              <w:rPr>
                <w:rFonts w:ascii="Times New Roman" w:hAnsi="Times New Roman" w:cs="Times New Roman"/>
              </w:rPr>
            </w:pPr>
            <w:r>
              <w:rPr>
                <w:rFonts w:ascii="Times New Roman" w:hAnsi="Times New Roman" w:cs="Times New Roman"/>
              </w:rPr>
              <w:t>达到当地本行业工程建设标准要求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生产力</w:t>
            </w:r>
          </w:p>
          <w:p>
            <w:pPr>
              <w:pStyle w:val="14"/>
              <w:ind w:left="420" w:hanging="420"/>
              <w:jc w:val="center"/>
              <w:rPr>
                <w:rFonts w:ascii="Times New Roman" w:hAnsi="Times New Roman" w:cs="Times New Roman"/>
              </w:rPr>
            </w:pPr>
            <w:r>
              <w:rPr>
                <w:rFonts w:ascii="Times New Roman" w:hAnsi="Times New Roman" w:cs="Times New Roman"/>
              </w:rPr>
              <w:t>水平</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定植密度/（株/hm</w:t>
            </w:r>
            <w:r>
              <w:rPr>
                <w:rFonts w:ascii="Times New Roman" w:hAnsi="Times New Roman" w:cs="Times New Roman"/>
                <w:vertAlign w:val="superscript"/>
              </w:rPr>
              <w:t>2</w:t>
            </w:r>
            <w:r>
              <w:rPr>
                <w:rFonts w:ascii="Times New Roman" w:hAnsi="Times New Roman" w:cs="Times New Roman"/>
              </w:rPr>
              <w:t>）</w:t>
            </w:r>
          </w:p>
        </w:tc>
        <w:tc>
          <w:tcPr>
            <w:tcW w:w="4819" w:type="dxa"/>
            <w:gridSpan w:val="2"/>
            <w:vAlign w:val="center"/>
          </w:tcPr>
          <w:p>
            <w:pPr>
              <w:pStyle w:val="14"/>
              <w:ind w:left="420" w:hanging="420"/>
              <w:jc w:val="center"/>
              <w:rPr>
                <w:rFonts w:ascii="Times New Roman" w:hAnsi="Times New Roman" w:cs="Times New Roman"/>
              </w:rPr>
            </w:pPr>
            <w:r>
              <w:rPr>
                <w:rFonts w:ascii="Times New Roman" w:hAnsi="Times New Roman" w:cs="Times New Roman"/>
              </w:rPr>
              <w:t>满足《造林作业设计规程》（LY/T 1607）要求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郁闭度</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≥0.35</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≥0.35，多年后≥0.75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草地</w:t>
            </w:r>
          </w:p>
        </w:tc>
        <w:tc>
          <w:tcPr>
            <w:tcW w:w="709"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其他</w:t>
            </w:r>
          </w:p>
          <w:p>
            <w:pPr>
              <w:pStyle w:val="14"/>
              <w:ind w:left="420" w:hanging="420"/>
              <w:jc w:val="center"/>
              <w:rPr>
                <w:rFonts w:ascii="Times New Roman" w:hAnsi="Times New Roman" w:cs="Times New Roman"/>
              </w:rPr>
            </w:pPr>
            <w:r>
              <w:rPr>
                <w:rFonts w:ascii="Times New Roman" w:hAnsi="Times New Roman" w:cs="Times New Roman"/>
              </w:rPr>
              <w:t>草地</w:t>
            </w:r>
          </w:p>
        </w:tc>
        <w:tc>
          <w:tcPr>
            <w:tcW w:w="1281"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土壤</w:t>
            </w:r>
          </w:p>
          <w:p>
            <w:pPr>
              <w:pStyle w:val="14"/>
              <w:ind w:left="420" w:hanging="420"/>
              <w:jc w:val="center"/>
              <w:rPr>
                <w:rFonts w:ascii="Times New Roman" w:hAnsi="Times New Roman" w:cs="Times New Roman"/>
              </w:rPr>
            </w:pPr>
            <w:r>
              <w:rPr>
                <w:rFonts w:ascii="Times New Roman" w:hAnsi="Times New Roman" w:cs="Times New Roman"/>
              </w:rPr>
              <w:t>质量</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有效土层厚度/cm</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≥20</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土壤容重/（g/cm</w:t>
            </w:r>
            <w:r>
              <w:rPr>
                <w:rFonts w:ascii="Times New Roman" w:hAnsi="Times New Roman" w:cs="Times New Roman"/>
                <w:vertAlign w:val="superscript"/>
              </w:rPr>
              <w:t>3</w:t>
            </w:r>
            <w:r>
              <w:rPr>
                <w:rFonts w:ascii="Times New Roman" w:hAnsi="Times New Roman" w:cs="Times New Roman"/>
              </w:rPr>
              <w:t>）</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≤1.45</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土壤质地</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砂土至壤质粘土</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砂质壤土至壤质粘土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砾石含量/﹪</w:t>
            </w:r>
          </w:p>
        </w:tc>
        <w:tc>
          <w:tcPr>
            <w:tcW w:w="242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≤50</w:t>
            </w:r>
          </w:p>
        </w:tc>
        <w:tc>
          <w:tcPr>
            <w:tcW w:w="2390"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pH值</w:t>
            </w:r>
          </w:p>
        </w:tc>
        <w:tc>
          <w:tcPr>
            <w:tcW w:w="2429" w:type="dxa"/>
            <w:vAlign w:val="center"/>
          </w:tcPr>
          <w:p>
            <w:pPr>
              <w:pStyle w:val="14"/>
              <w:ind w:left="420" w:hanging="420"/>
              <w:jc w:val="center"/>
              <w:rPr>
                <w:rFonts w:ascii="Times New Roman" w:hAnsi="Times New Roman" w:cs="Times New Roman"/>
              </w:rPr>
            </w:pPr>
            <w:r>
              <w:rPr>
                <w:rFonts w:ascii="Times New Roman" w:hAnsi="Times New Roman" w:cs="Times New Roman"/>
              </w:rPr>
              <w:t>5.0～8.0</w:t>
            </w:r>
          </w:p>
        </w:tc>
        <w:tc>
          <w:tcPr>
            <w:tcW w:w="2390" w:type="dxa"/>
            <w:vAlign w:val="center"/>
          </w:tcPr>
          <w:p>
            <w:pPr>
              <w:pStyle w:val="14"/>
              <w:ind w:left="420" w:hanging="420"/>
              <w:jc w:val="center"/>
              <w:rPr>
                <w:rFonts w:ascii="Times New Roman" w:hAnsi="Times New Roman" w:cs="Times New Roman"/>
              </w:rPr>
            </w:pPr>
            <w:r>
              <w:rPr>
                <w:rFonts w:ascii="Times New Roman" w:hAnsi="Times New Roman" w:cs="Times New Roman"/>
              </w:rPr>
              <w:t>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有机质/﹪</w:t>
            </w:r>
          </w:p>
        </w:tc>
        <w:tc>
          <w:tcPr>
            <w:tcW w:w="242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≥1</w:t>
            </w:r>
          </w:p>
        </w:tc>
        <w:tc>
          <w:tcPr>
            <w:tcW w:w="2390"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配套</w:t>
            </w:r>
          </w:p>
          <w:p>
            <w:pPr>
              <w:pStyle w:val="14"/>
              <w:ind w:left="420" w:hanging="420"/>
              <w:jc w:val="center"/>
              <w:rPr>
                <w:rFonts w:ascii="Times New Roman" w:hAnsi="Times New Roman" w:cs="Times New Roman"/>
              </w:rPr>
            </w:pPr>
            <w:r>
              <w:rPr>
                <w:rFonts w:ascii="Times New Roman" w:hAnsi="Times New Roman" w:cs="Times New Roman"/>
              </w:rPr>
              <w:t>设施</w:t>
            </w: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灌 溉</w:t>
            </w:r>
          </w:p>
        </w:tc>
        <w:tc>
          <w:tcPr>
            <w:tcW w:w="4819" w:type="dxa"/>
            <w:gridSpan w:val="2"/>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达到当地本行业工程建设标准要求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道 路</w:t>
            </w:r>
          </w:p>
        </w:tc>
        <w:tc>
          <w:tcPr>
            <w:tcW w:w="4819" w:type="dxa"/>
            <w:gridSpan w:val="2"/>
            <w:vMerge w:val="continue"/>
            <w:vAlign w:val="center"/>
          </w:tcPr>
          <w:p>
            <w:pPr>
              <w:pStyle w:val="14"/>
              <w:ind w:left="420" w:hanging="420"/>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restart"/>
            <w:vAlign w:val="center"/>
          </w:tcPr>
          <w:p>
            <w:pPr>
              <w:pStyle w:val="14"/>
              <w:ind w:left="420" w:hanging="420"/>
              <w:jc w:val="center"/>
              <w:rPr>
                <w:rFonts w:ascii="Times New Roman" w:hAnsi="Times New Roman" w:cs="Times New Roman"/>
              </w:rPr>
            </w:pPr>
            <w:r>
              <w:rPr>
                <w:rFonts w:ascii="Times New Roman" w:hAnsi="Times New Roman" w:cs="Times New Roman"/>
              </w:rPr>
              <w:t>生产力</w:t>
            </w:r>
          </w:p>
          <w:p>
            <w:pPr>
              <w:pStyle w:val="14"/>
              <w:ind w:left="420" w:hanging="420"/>
              <w:jc w:val="center"/>
              <w:rPr>
                <w:rFonts w:ascii="Times New Roman" w:hAnsi="Times New Roman" w:cs="Times New Roman"/>
              </w:rPr>
            </w:pPr>
            <w:r>
              <w:rPr>
                <w:rFonts w:ascii="Times New Roman" w:hAnsi="Times New Roman" w:cs="Times New Roman"/>
              </w:rPr>
              <w:t>水平</w:t>
            </w:r>
          </w:p>
        </w:tc>
        <w:tc>
          <w:tcPr>
            <w:tcW w:w="224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覆盖率/﹪</w:t>
            </w:r>
          </w:p>
        </w:tc>
        <w:tc>
          <w:tcPr>
            <w:tcW w:w="2429"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≥40</w:t>
            </w:r>
          </w:p>
        </w:tc>
        <w:tc>
          <w:tcPr>
            <w:tcW w:w="2390" w:type="dxa"/>
            <w:vAlign w:val="center"/>
          </w:tcPr>
          <w:p>
            <w:pPr>
              <w:pStyle w:val="14"/>
              <w:adjustRightInd w:val="0"/>
              <w:snapToGrid w:val="0"/>
              <w:jc w:val="center"/>
              <w:rPr>
                <w:rFonts w:ascii="Times New Roman" w:hAnsi="Times New Roman" w:cs="Times New Roman"/>
              </w:rPr>
            </w:pPr>
            <w:r>
              <w:rPr>
                <w:rFonts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4" w:type="dxa"/>
            <w:vMerge w:val="continue"/>
            <w:vAlign w:val="center"/>
          </w:tcPr>
          <w:p>
            <w:pPr>
              <w:pStyle w:val="14"/>
              <w:ind w:left="420" w:hanging="420"/>
              <w:jc w:val="center"/>
              <w:rPr>
                <w:rFonts w:ascii="Times New Roman" w:hAnsi="Times New Roman" w:cs="Times New Roman"/>
              </w:rPr>
            </w:pPr>
          </w:p>
        </w:tc>
        <w:tc>
          <w:tcPr>
            <w:tcW w:w="709" w:type="dxa"/>
            <w:vMerge w:val="continue"/>
            <w:vAlign w:val="center"/>
          </w:tcPr>
          <w:p>
            <w:pPr>
              <w:pStyle w:val="14"/>
              <w:ind w:left="420" w:hanging="420"/>
              <w:jc w:val="center"/>
              <w:rPr>
                <w:rFonts w:ascii="Times New Roman" w:hAnsi="Times New Roman" w:cs="Times New Roman"/>
              </w:rPr>
            </w:pPr>
          </w:p>
        </w:tc>
        <w:tc>
          <w:tcPr>
            <w:tcW w:w="1281" w:type="dxa"/>
            <w:vMerge w:val="continue"/>
            <w:vAlign w:val="center"/>
          </w:tcPr>
          <w:p>
            <w:pPr>
              <w:pStyle w:val="14"/>
              <w:ind w:left="420" w:hanging="420"/>
              <w:jc w:val="center"/>
              <w:rPr>
                <w:rFonts w:ascii="Times New Roman" w:hAnsi="Times New Roman" w:cs="Times New Roman"/>
              </w:rPr>
            </w:pPr>
          </w:p>
        </w:tc>
        <w:tc>
          <w:tcPr>
            <w:tcW w:w="2249" w:type="dxa"/>
            <w:vAlign w:val="center"/>
          </w:tcPr>
          <w:p>
            <w:pPr>
              <w:pStyle w:val="14"/>
              <w:ind w:left="420" w:hanging="420"/>
              <w:jc w:val="center"/>
              <w:rPr>
                <w:rFonts w:ascii="Times New Roman" w:hAnsi="Times New Roman" w:cs="Times New Roman"/>
              </w:rPr>
            </w:pPr>
            <w:r>
              <w:rPr>
                <w:rFonts w:ascii="Times New Roman" w:hAnsi="Times New Roman" w:cs="Times New Roman"/>
              </w:rPr>
              <w:t>产量/（Kg/hm</w:t>
            </w:r>
            <w:r>
              <w:rPr>
                <w:rFonts w:ascii="Times New Roman" w:hAnsi="Times New Roman" w:cs="Times New Roman"/>
                <w:vertAlign w:val="superscript"/>
              </w:rPr>
              <w:t>2</w:t>
            </w:r>
            <w:r>
              <w:rPr>
                <w:rFonts w:ascii="Times New Roman" w:hAnsi="Times New Roman" w:cs="Times New Roman"/>
              </w:rPr>
              <w:t>）</w:t>
            </w:r>
          </w:p>
        </w:tc>
        <w:tc>
          <w:tcPr>
            <w:tcW w:w="4819" w:type="dxa"/>
            <w:gridSpan w:val="2"/>
            <w:vAlign w:val="center"/>
          </w:tcPr>
          <w:p>
            <w:pPr>
              <w:pStyle w:val="14"/>
              <w:ind w:left="420" w:hanging="420"/>
              <w:jc w:val="center"/>
              <w:rPr>
                <w:rFonts w:ascii="Times New Roman" w:hAnsi="Times New Roman" w:cs="Times New Roman"/>
              </w:rPr>
            </w:pPr>
            <w:r>
              <w:rPr>
                <w:rFonts w:ascii="Times New Roman" w:hAnsi="Times New Roman" w:cs="Times New Roman"/>
              </w:rPr>
              <w:t>三年后达到周边地区同等土地利用类型水平</w:t>
            </w:r>
          </w:p>
        </w:tc>
      </w:tr>
    </w:tbl>
    <w:p>
      <w:pPr>
        <w:spacing w:line="470" w:lineRule="exact"/>
        <w:ind w:firstLine="480" w:firstLineChars="200"/>
        <w:rPr>
          <w:sz w:val="24"/>
        </w:rPr>
      </w:pPr>
      <w:r>
        <w:rPr>
          <w:sz w:val="24"/>
        </w:rPr>
        <w:t>（4）土源供需平衡分析</w:t>
      </w:r>
    </w:p>
    <w:p>
      <w:pPr>
        <w:spacing w:line="470" w:lineRule="exact"/>
        <w:ind w:firstLine="480" w:firstLineChars="200"/>
        <w:rPr>
          <w:sz w:val="24"/>
        </w:rPr>
      </w:pPr>
      <w:r>
        <w:rPr>
          <w:rFonts w:hint="eastAsia" w:ascii="宋体" w:hAnsi="宋体" w:cs="宋体"/>
          <w:sz w:val="24"/>
        </w:rPr>
        <w:t>①</w:t>
      </w:r>
      <w:r>
        <w:rPr>
          <w:sz w:val="24"/>
        </w:rPr>
        <w:t>需土量分析</w:t>
      </w:r>
    </w:p>
    <w:p>
      <w:pPr>
        <w:spacing w:line="440" w:lineRule="exact"/>
        <w:ind w:firstLine="480" w:firstLineChars="200"/>
        <w:rPr>
          <w:sz w:val="24"/>
        </w:rPr>
      </w:pPr>
      <w:r>
        <w:rPr>
          <w:sz w:val="24"/>
        </w:rPr>
        <w:t>表土供需平衡分析：根据生态修复思路及目标，矿山露采场边坡生态修复复垦单元需要覆土。</w:t>
      </w:r>
    </w:p>
    <w:p>
      <w:pPr>
        <w:spacing w:line="470" w:lineRule="exact"/>
        <w:ind w:firstLine="480" w:firstLineChars="200"/>
        <w:rPr>
          <w:sz w:val="24"/>
        </w:rPr>
      </w:pPr>
      <w:r>
        <w:rPr>
          <w:sz w:val="24"/>
        </w:rPr>
        <w:t>根据公式“表土覆盖量=表土需求量=覆盖面积×表土厚度”，综合确定所有林地复垦区设计覆土厚度为</w:t>
      </w:r>
      <w:r>
        <w:rPr>
          <w:rFonts w:hint="eastAsia"/>
          <w:sz w:val="24"/>
        </w:rPr>
        <w:t>**</w:t>
      </w:r>
      <w:r>
        <w:rPr>
          <w:sz w:val="24"/>
        </w:rPr>
        <w:t>m，露天采场平台复垦为灌木林草地，覆土厚度为</w:t>
      </w:r>
      <w:r>
        <w:rPr>
          <w:rFonts w:hint="eastAsia"/>
          <w:sz w:val="24"/>
        </w:rPr>
        <w:t>***</w:t>
      </w:r>
      <w:r>
        <w:rPr>
          <w:sz w:val="24"/>
        </w:rPr>
        <w:t>m。当地政府对生态环境保护措施严格，不允许随意砍伐树木、破坏生态；因矿山剥离表土达不到土质要求，因此复垦用土需从外部购土。</w:t>
      </w:r>
    </w:p>
    <w:p>
      <w:pPr>
        <w:spacing w:line="470" w:lineRule="exact"/>
        <w:ind w:firstLine="480" w:firstLineChars="200"/>
        <w:rPr>
          <w:sz w:val="24"/>
        </w:rPr>
      </w:pPr>
      <w:r>
        <w:rPr>
          <w:rFonts w:hint="eastAsia" w:ascii="宋体" w:hAnsi="宋体" w:cs="宋体"/>
          <w:sz w:val="24"/>
        </w:rPr>
        <w:t>②</w:t>
      </w:r>
      <w:r>
        <w:rPr>
          <w:sz w:val="24"/>
        </w:rPr>
        <w:t>土源供应量分析</w:t>
      </w:r>
    </w:p>
    <w:p>
      <w:pPr>
        <w:spacing w:line="470" w:lineRule="exact"/>
        <w:ind w:firstLine="480" w:firstLineChars="200"/>
        <w:rPr>
          <w:sz w:val="24"/>
        </w:rPr>
      </w:pPr>
      <w:r>
        <w:rPr>
          <w:sz w:val="24"/>
        </w:rPr>
        <w:t>根据现场调查情况，覆盖层剥离土壤质量达不到复垦利用要求，复垦用土需进行外购</w:t>
      </w:r>
      <w:r>
        <w:rPr>
          <w:rFonts w:hint="eastAsia"/>
          <w:sz w:val="24"/>
        </w:rPr>
        <w:t>******</w:t>
      </w:r>
      <w:r>
        <w:rPr>
          <w:sz w:val="24"/>
        </w:rPr>
        <w:t>m³。平台区覆土面积为</w:t>
      </w:r>
      <w:r>
        <w:rPr>
          <w:rFonts w:hint="eastAsia"/>
          <w:sz w:val="24"/>
        </w:rPr>
        <w:t>****</w:t>
      </w:r>
      <w:r>
        <w:rPr>
          <w:sz w:val="24"/>
        </w:rPr>
        <w:t>㎡，拟覆土厚度</w:t>
      </w:r>
      <w:r>
        <w:rPr>
          <w:rFonts w:hint="eastAsia"/>
          <w:sz w:val="24"/>
        </w:rPr>
        <w:t>***</w:t>
      </w:r>
      <w:r>
        <w:rPr>
          <w:sz w:val="24"/>
        </w:rPr>
        <w:t>m，需覆土</w:t>
      </w:r>
      <w:r>
        <w:rPr>
          <w:rFonts w:hint="eastAsia"/>
          <w:sz w:val="24"/>
        </w:rPr>
        <w:t>****</w:t>
      </w:r>
      <w:r>
        <w:rPr>
          <w:sz w:val="24"/>
        </w:rPr>
        <w:t>×</w:t>
      </w:r>
      <w:r>
        <w:rPr>
          <w:rFonts w:hint="eastAsia"/>
          <w:sz w:val="24"/>
        </w:rPr>
        <w:t>***</w:t>
      </w:r>
      <w:r>
        <w:rPr>
          <w:sz w:val="24"/>
        </w:rPr>
        <w:t>=</w:t>
      </w:r>
      <w:r>
        <w:rPr>
          <w:rFonts w:hint="eastAsia"/>
          <w:sz w:val="24"/>
        </w:rPr>
        <w:t>******</w:t>
      </w:r>
      <w:r>
        <w:rPr>
          <w:sz w:val="24"/>
        </w:rPr>
        <w:t>m³。矿部及工业广场非建设用地区拟修复为林地，需覆土面积</w:t>
      </w:r>
      <w:r>
        <w:rPr>
          <w:rFonts w:hint="eastAsia"/>
          <w:sz w:val="24"/>
        </w:rPr>
        <w:t>*****</w:t>
      </w:r>
      <w:r>
        <w:rPr>
          <w:sz w:val="24"/>
        </w:rPr>
        <w:t>m</w:t>
      </w:r>
      <w:r>
        <w:rPr>
          <w:sz w:val="24"/>
          <w:vertAlign w:val="superscript"/>
        </w:rPr>
        <w:t>2</w:t>
      </w:r>
      <w:r>
        <w:rPr>
          <w:sz w:val="24"/>
        </w:rPr>
        <w:t>，拟覆土厚度</w:t>
      </w:r>
      <w:r>
        <w:rPr>
          <w:rFonts w:hint="eastAsia"/>
          <w:sz w:val="24"/>
        </w:rPr>
        <w:t>**</w:t>
      </w:r>
      <w:r>
        <w:rPr>
          <w:sz w:val="24"/>
        </w:rPr>
        <w:t>m，需覆土</w:t>
      </w:r>
      <w:r>
        <w:rPr>
          <w:rFonts w:hint="eastAsia"/>
          <w:sz w:val="24"/>
        </w:rPr>
        <w:t>*****</w:t>
      </w:r>
      <w:r>
        <w:rPr>
          <w:sz w:val="24"/>
        </w:rPr>
        <w:t>×</w:t>
      </w:r>
      <w:r>
        <w:rPr>
          <w:rFonts w:hint="eastAsia"/>
          <w:sz w:val="24"/>
        </w:rPr>
        <w:t>**</w:t>
      </w:r>
      <w:r>
        <w:rPr>
          <w:sz w:val="24"/>
        </w:rPr>
        <w:t>=</w:t>
      </w:r>
      <w:r>
        <w:rPr>
          <w:rFonts w:hint="eastAsia"/>
          <w:sz w:val="24"/>
        </w:rPr>
        <w:t>*****</w:t>
      </w:r>
      <w:r>
        <w:rPr>
          <w:sz w:val="24"/>
        </w:rPr>
        <w:t>m³。</w:t>
      </w:r>
    </w:p>
    <w:p>
      <w:pPr>
        <w:spacing w:line="470" w:lineRule="exact"/>
        <w:ind w:firstLine="480" w:firstLineChars="200"/>
        <w:rPr>
          <w:sz w:val="24"/>
        </w:rPr>
      </w:pPr>
      <w:r>
        <w:rPr>
          <w:rFonts w:hint="eastAsia" w:ascii="宋体" w:hAnsi="宋体" w:cs="宋体"/>
          <w:sz w:val="24"/>
        </w:rPr>
        <w:t>③</w:t>
      </w:r>
      <w:r>
        <w:rPr>
          <w:sz w:val="24"/>
        </w:rPr>
        <w:t>水资源平衡分析</w:t>
      </w:r>
    </w:p>
    <w:p>
      <w:pPr>
        <w:spacing w:line="470" w:lineRule="exact"/>
        <w:ind w:firstLine="480" w:firstLineChars="200"/>
        <w:rPr>
          <w:sz w:val="24"/>
        </w:rPr>
      </w:pPr>
      <w:r>
        <w:rPr>
          <w:sz w:val="24"/>
        </w:rPr>
        <w:t>矿山所在地区桃江县属亚热带季风湿润气候区，雨量适中，年平均降水量</w:t>
      </w:r>
      <w:r>
        <w:rPr>
          <w:rFonts w:hint="eastAsia"/>
          <w:sz w:val="24"/>
        </w:rPr>
        <w:t>*****</w:t>
      </w:r>
      <w:r>
        <w:rPr>
          <w:sz w:val="24"/>
        </w:rPr>
        <w:t>mm，年平均降雨日</w:t>
      </w:r>
      <w:r>
        <w:rPr>
          <w:rFonts w:hint="eastAsia"/>
          <w:sz w:val="24"/>
        </w:rPr>
        <w:t>***</w:t>
      </w:r>
      <w:r>
        <w:rPr>
          <w:sz w:val="24"/>
        </w:rPr>
        <w:t>d（雨季4～8月），较适应植被生长；矿山复垦为林地、草地区生长初期需要一定的灌溉措施（沟渠、坑塘、蓄水池等设施对地表水进行蓄积雨水）来保证成活率，灌溉方式为人工洒水，待3a管护、抚育期满后可转为依靠自然降水。</w:t>
      </w:r>
    </w:p>
    <w:p>
      <w:pPr>
        <w:spacing w:line="470" w:lineRule="exact"/>
        <w:ind w:firstLine="480" w:firstLineChars="200"/>
        <w:rPr>
          <w:sz w:val="24"/>
        </w:rPr>
      </w:pPr>
      <w:r>
        <w:rPr>
          <w:rFonts w:hint="eastAsia" w:ascii="宋体" w:hAnsi="宋体" w:cs="宋体"/>
          <w:sz w:val="24"/>
        </w:rPr>
        <w:t>④</w:t>
      </w:r>
      <w:r>
        <w:rPr>
          <w:sz w:val="24"/>
        </w:rPr>
        <w:t>植被选择的科学性分析</w:t>
      </w:r>
    </w:p>
    <w:p>
      <w:pPr>
        <w:spacing w:line="470" w:lineRule="exact"/>
        <w:ind w:firstLine="480" w:firstLineChars="200"/>
        <w:rPr>
          <w:sz w:val="24"/>
        </w:rPr>
      </w:pPr>
      <w:r>
        <w:rPr>
          <w:sz w:val="24"/>
        </w:rPr>
        <w:t>通过本项目区林地植被分布实地考察，本方案林地优先采用乡土树种，灌木为卫矛、红叶石楠、柏木、青岗等，能适应本地区环境，长势良好。草籽采用高羊茅、百喜草、狗牙根混播。</w:t>
      </w:r>
    </w:p>
    <w:p>
      <w:pPr>
        <w:spacing w:line="470" w:lineRule="exact"/>
        <w:ind w:firstLine="480" w:firstLineChars="200"/>
        <w:rPr>
          <w:sz w:val="24"/>
        </w:rPr>
      </w:pPr>
      <w:r>
        <w:rPr>
          <w:sz w:val="24"/>
        </w:rPr>
        <w:t>（5）土地复垦工程措施</w:t>
      </w:r>
    </w:p>
    <w:p>
      <w:pPr>
        <w:spacing w:line="470" w:lineRule="exact"/>
        <w:ind w:firstLine="480" w:firstLineChars="200"/>
        <w:rPr>
          <w:sz w:val="24"/>
        </w:rPr>
      </w:pPr>
      <w:r>
        <w:rPr>
          <w:sz w:val="24"/>
        </w:rPr>
        <w:t>通过工程措施进行造地、整地并通过水土保持措施，减少水土流失发生的可能性，增强再造地貌的稳定性，为生态重建创造有利条件。</w:t>
      </w:r>
    </w:p>
    <w:p>
      <w:pPr>
        <w:spacing w:line="470" w:lineRule="exact"/>
        <w:ind w:firstLine="480" w:firstLineChars="200"/>
        <w:rPr>
          <w:sz w:val="24"/>
        </w:rPr>
      </w:pPr>
      <w:r>
        <w:rPr>
          <w:sz w:val="24"/>
        </w:rPr>
        <w:t>其工程内容及复垦工序为：覆土回填—土地培肥—挖坑植树种草等工程。</w:t>
      </w:r>
    </w:p>
    <w:p>
      <w:pPr>
        <w:spacing w:line="470" w:lineRule="exact"/>
        <w:ind w:firstLine="480" w:firstLineChars="200"/>
        <w:rPr>
          <w:sz w:val="24"/>
        </w:rPr>
      </w:pPr>
      <w:r>
        <w:rPr>
          <w:sz w:val="24"/>
        </w:rPr>
        <w:t>a、露采场平台外侧生防护栏工程措施</w:t>
      </w:r>
    </w:p>
    <w:p>
      <w:pPr>
        <w:spacing w:line="470" w:lineRule="exact"/>
        <w:ind w:firstLine="480" w:firstLineChars="200"/>
        <w:rPr>
          <w:sz w:val="24"/>
        </w:rPr>
      </w:pPr>
      <w:r>
        <w:rPr>
          <w:sz w:val="24"/>
        </w:rPr>
        <w:t>在开采平台的外侧装上防护栏，防护栏的高度为1米，从上到下总共布置2根横置的不锈钢材料，以防发生掉落危险。</w:t>
      </w:r>
    </w:p>
    <w:p>
      <w:pPr>
        <w:spacing w:line="470" w:lineRule="exact"/>
        <w:ind w:firstLine="480" w:firstLineChars="200"/>
        <w:rPr>
          <w:sz w:val="24"/>
        </w:rPr>
      </w:pPr>
      <w:r>
        <w:rPr>
          <w:sz w:val="24"/>
        </w:rPr>
        <w:t>b、复绿工程措施</w:t>
      </w:r>
    </w:p>
    <w:p>
      <w:pPr>
        <w:spacing w:line="470" w:lineRule="exact"/>
        <w:ind w:firstLine="480" w:firstLineChars="200"/>
        <w:rPr>
          <w:sz w:val="24"/>
        </w:rPr>
      </w:pPr>
      <w:r>
        <w:rPr>
          <w:sz w:val="24"/>
        </w:rPr>
        <w:t>露天采场平台区覆土整平完整、开挖植树坑，灌木株距为1米，覆土、施有机肥和保水剂，保持土壤肥力。</w:t>
      </w:r>
    </w:p>
    <w:p>
      <w:pPr>
        <w:spacing w:line="470" w:lineRule="exact"/>
        <w:ind w:firstLine="480" w:firstLineChars="200"/>
        <w:rPr>
          <w:sz w:val="24"/>
        </w:rPr>
      </w:pPr>
      <w:r>
        <w:rPr>
          <w:sz w:val="24"/>
        </w:rPr>
        <w:t>d、管护措施</w:t>
      </w:r>
    </w:p>
    <w:p>
      <w:pPr>
        <w:spacing w:line="470" w:lineRule="exact"/>
        <w:ind w:firstLine="480" w:firstLineChars="200"/>
        <w:rPr>
          <w:sz w:val="24"/>
        </w:rPr>
      </w:pPr>
      <w:r>
        <w:rPr>
          <w:sz w:val="24"/>
        </w:rPr>
        <w:t>对于生态修复完毕的土地，需要3年的管护期，防止土地的退化。矿山设有专门负责矿山生态保护修复、绿化的管理部门，负责矿区生态修复区和绿化区的管理工作，并对管护人员进行培训；负责生态修复管护中所需的资金、劳动力等问题。</w:t>
      </w:r>
    </w:p>
    <w:p>
      <w:pPr>
        <w:spacing w:line="470" w:lineRule="exact"/>
        <w:ind w:firstLine="480" w:firstLineChars="200"/>
        <w:rPr>
          <w:sz w:val="24"/>
        </w:rPr>
      </w:pPr>
      <w:r>
        <w:rPr>
          <w:sz w:val="24"/>
        </w:rPr>
        <w:t>对已完工项目明显位置采取设立标志牌、粉刷标语等多种形式进行广泛宣传，提高人民群众参与管护的积极性。</w:t>
      </w:r>
    </w:p>
    <w:p>
      <w:pPr>
        <w:spacing w:line="470" w:lineRule="exact"/>
        <w:ind w:firstLine="480" w:firstLineChars="200"/>
        <w:rPr>
          <w:sz w:val="24"/>
        </w:rPr>
      </w:pPr>
      <w:r>
        <w:rPr>
          <w:sz w:val="24"/>
        </w:rPr>
        <w:t>建立长效管护机制。制定林地管护办法，落实管护责任制度，明确管护责任，进行挂牌管理。并实行轮流巡查制度，对发现人为毁坏行为及时制止。</w:t>
      </w:r>
    </w:p>
    <w:p>
      <w:pPr>
        <w:spacing w:line="470" w:lineRule="exact"/>
        <w:ind w:firstLine="480" w:firstLineChars="200"/>
        <w:rPr>
          <w:sz w:val="24"/>
        </w:rPr>
      </w:pPr>
      <w:r>
        <w:rPr>
          <w:sz w:val="24"/>
        </w:rPr>
        <w:t>（6）复垦单元工程设计</w:t>
      </w:r>
    </w:p>
    <w:p>
      <w:pPr>
        <w:spacing w:line="470" w:lineRule="exact"/>
        <w:ind w:firstLine="480" w:firstLineChars="200"/>
        <w:rPr>
          <w:sz w:val="24"/>
        </w:rPr>
      </w:pPr>
      <w:r>
        <w:rPr>
          <w:rFonts w:hint="eastAsia" w:ascii="宋体" w:hAnsi="宋体" w:cs="宋体"/>
          <w:sz w:val="24"/>
        </w:rPr>
        <w:t>①</w:t>
      </w:r>
      <w:r>
        <w:rPr>
          <w:sz w:val="24"/>
        </w:rPr>
        <w:t>露采场区域生态修复工程设计</w:t>
      </w:r>
    </w:p>
    <w:p>
      <w:pPr>
        <w:spacing w:line="470" w:lineRule="exact"/>
        <w:ind w:firstLine="480" w:firstLineChars="200"/>
        <w:rPr>
          <w:sz w:val="24"/>
        </w:rPr>
      </w:pPr>
      <w:r>
        <w:rPr>
          <w:sz w:val="24"/>
        </w:rPr>
        <w:t>露采场底盘区域修复为水塘，总面积</w:t>
      </w:r>
      <w:r>
        <w:rPr>
          <w:rFonts w:hint="eastAsia"/>
          <w:sz w:val="24"/>
        </w:rPr>
        <w:t>****</w:t>
      </w:r>
      <w:r>
        <w:rPr>
          <w:sz w:val="24"/>
        </w:rPr>
        <w:t>hm</w:t>
      </w:r>
      <w:r>
        <w:rPr>
          <w:sz w:val="24"/>
          <w:vertAlign w:val="superscript"/>
        </w:rPr>
        <w:t>2</w:t>
      </w:r>
      <w:r>
        <w:rPr>
          <w:sz w:val="24"/>
        </w:rPr>
        <w:t>。</w:t>
      </w:r>
    </w:p>
    <w:p>
      <w:pPr>
        <w:spacing w:line="470" w:lineRule="exact"/>
        <w:ind w:firstLine="480" w:firstLineChars="200"/>
        <w:rPr>
          <w:sz w:val="24"/>
        </w:rPr>
      </w:pPr>
      <w:r>
        <w:rPr>
          <w:sz w:val="24"/>
        </w:rPr>
        <w:t>台阶平台复垦为灌木林地，总面积</w:t>
      </w:r>
      <w:r>
        <w:rPr>
          <w:rFonts w:hint="eastAsia"/>
          <w:sz w:val="24"/>
        </w:rPr>
        <w:t>****</w:t>
      </w:r>
      <w:r>
        <w:rPr>
          <w:sz w:val="24"/>
        </w:rPr>
        <w:t>平方米。中间地段覆土厚</w:t>
      </w:r>
      <w:r>
        <w:rPr>
          <w:rFonts w:hint="eastAsia"/>
          <w:sz w:val="24"/>
        </w:rPr>
        <w:t>***</w:t>
      </w:r>
      <w:r>
        <w:rPr>
          <w:sz w:val="24"/>
        </w:rPr>
        <w:t>m，需外购土方</w:t>
      </w:r>
      <w:r>
        <w:rPr>
          <w:rFonts w:hint="eastAsia"/>
          <w:sz w:val="24"/>
        </w:rPr>
        <w:t>*****</w:t>
      </w:r>
      <w:r>
        <w:rPr>
          <w:sz w:val="24"/>
        </w:rPr>
        <w:t>m</w:t>
      </w:r>
      <w:r>
        <w:rPr>
          <w:sz w:val="24"/>
          <w:vertAlign w:val="superscript"/>
        </w:rPr>
        <w:t>3</w:t>
      </w:r>
      <w:r>
        <w:rPr>
          <w:sz w:val="24"/>
        </w:rPr>
        <w:t>。在平台种植卫矛、红叶石楠、柏木等树种，株距为1米，植树量</w:t>
      </w:r>
      <w:r>
        <w:rPr>
          <w:rFonts w:hint="eastAsia"/>
          <w:sz w:val="24"/>
        </w:rPr>
        <w:t>****</w:t>
      </w:r>
      <w:r>
        <w:rPr>
          <w:sz w:val="24"/>
        </w:rPr>
        <w:t>株,覆土外侧边缘砌上红砖，总长度</w:t>
      </w:r>
      <w:r>
        <w:rPr>
          <w:rFonts w:hint="eastAsia"/>
          <w:sz w:val="24"/>
        </w:rPr>
        <w:t>****</w:t>
      </w:r>
      <w:r>
        <w:rPr>
          <w:sz w:val="24"/>
        </w:rPr>
        <w:t>米，总共需要红砖</w:t>
      </w:r>
      <w:r>
        <w:rPr>
          <w:rFonts w:hint="eastAsia"/>
          <w:sz w:val="24"/>
        </w:rPr>
        <w:t>******</w:t>
      </w:r>
      <w:r>
        <w:rPr>
          <w:sz w:val="24"/>
        </w:rPr>
        <w:t>个，平台最外侧装上防护栏，总</w:t>
      </w:r>
      <w:r>
        <w:rPr>
          <w:sz w:val="24"/>
        </w:rPr>
        <w:drawing>
          <wp:anchor distT="0" distB="0" distL="114300" distR="114300" simplePos="0" relativeHeight="251666432" behindDoc="0" locked="0" layoutInCell="1" allowOverlap="1">
            <wp:simplePos x="0" y="0"/>
            <wp:positionH relativeFrom="column">
              <wp:posOffset>-76200</wp:posOffset>
            </wp:positionH>
            <wp:positionV relativeFrom="paragraph">
              <wp:posOffset>1728470</wp:posOffset>
            </wp:positionV>
            <wp:extent cx="5974080" cy="3634105"/>
            <wp:effectExtent l="0" t="0" r="7620" b="4445"/>
            <wp:wrapTopAndBottom/>
            <wp:docPr id="29" name="图片 29" descr="Drawing(3.13改)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rawing(3.13改) Model (1)_00"/>
                    <pic:cNvPicPr>
                      <a:picLocks noChangeAspect="1"/>
                    </pic:cNvPicPr>
                  </pic:nvPicPr>
                  <pic:blipFill>
                    <a:blip r:embed="rId53"/>
                    <a:stretch>
                      <a:fillRect/>
                    </a:stretch>
                  </pic:blipFill>
                  <pic:spPr>
                    <a:xfrm>
                      <a:off x="0" y="0"/>
                      <a:ext cx="5974080" cy="3634105"/>
                    </a:xfrm>
                    <a:prstGeom prst="rect">
                      <a:avLst/>
                    </a:prstGeom>
                  </pic:spPr>
                </pic:pic>
              </a:graphicData>
            </a:graphic>
          </wp:anchor>
        </w:drawing>
      </w:r>
      <w:r>
        <w:rPr>
          <w:sz w:val="24"/>
        </w:rPr>
        <w:t>长度为</w:t>
      </w:r>
      <w:r>
        <w:rPr>
          <w:rFonts w:hint="eastAsia"/>
          <w:sz w:val="24"/>
        </w:rPr>
        <w:t>****</w:t>
      </w:r>
      <w:r>
        <w:rPr>
          <w:sz w:val="24"/>
        </w:rPr>
        <w:t>米，需要不锈钢总长度为</w:t>
      </w:r>
      <w:r>
        <w:rPr>
          <w:rFonts w:hint="eastAsia"/>
          <w:sz w:val="24"/>
        </w:rPr>
        <w:t>****</w:t>
      </w:r>
      <w:r>
        <w:rPr>
          <w:sz w:val="24"/>
        </w:rPr>
        <w:t>米，底部刚钢钉固定。斜面部分无法覆土，打上锚钉，挂上绿色土工网，共</w:t>
      </w:r>
      <w:r>
        <w:rPr>
          <w:rFonts w:hint="eastAsia"/>
          <w:sz w:val="24"/>
        </w:rPr>
        <w:t>*****</w:t>
      </w:r>
      <w:r>
        <w:rPr>
          <w:sz w:val="24"/>
        </w:rPr>
        <w:t>平方米；底部种植爬山虎，一米种植4株，总共长度为</w:t>
      </w:r>
      <w:r>
        <w:rPr>
          <w:rFonts w:hint="eastAsia"/>
          <w:sz w:val="24"/>
        </w:rPr>
        <w:t>****</w:t>
      </w:r>
      <w:r>
        <w:rPr>
          <w:sz w:val="24"/>
        </w:rPr>
        <w:t>米，一共种植</w:t>
      </w:r>
      <w:r>
        <w:rPr>
          <w:rFonts w:hint="eastAsia"/>
          <w:sz w:val="24"/>
        </w:rPr>
        <w:t>*****</w:t>
      </w:r>
      <w:r>
        <w:rPr>
          <w:sz w:val="24"/>
        </w:rPr>
        <w:t>株。</w:t>
      </w:r>
    </w:p>
    <w:p>
      <w:pPr>
        <w:spacing w:line="470" w:lineRule="exact"/>
        <w:ind w:firstLine="480" w:firstLineChars="200"/>
        <w:rPr>
          <w:sz w:val="24"/>
        </w:rPr>
      </w:pPr>
      <w:r>
        <w:rPr>
          <w:sz w:val="24"/>
        </w:rPr>
        <w:t>其工程内容包括：覆土平整，土地培肥，台阶外侧设置防护栏，平台植树种草，种植藤蔓等</w:t>
      </w:r>
      <w:r>
        <w:rPr>
          <w:rFonts w:hint="eastAsia"/>
          <w:sz w:val="24"/>
        </w:rPr>
        <w:t>（图4-4）</w:t>
      </w:r>
      <w:r>
        <w:rPr>
          <w:sz w:val="24"/>
        </w:rPr>
        <w:t>。</w:t>
      </w:r>
    </w:p>
    <w:p>
      <w:pPr>
        <w:spacing w:line="470" w:lineRule="exact"/>
        <w:ind w:firstLine="480" w:firstLineChars="200"/>
        <w:jc w:val="center"/>
        <w:rPr>
          <w:sz w:val="24"/>
        </w:rPr>
      </w:pPr>
      <w:r>
        <w:rPr>
          <w:rFonts w:hint="eastAsia"/>
          <w:sz w:val="24"/>
        </w:rPr>
        <w:t>图4-4露采场台阶平台复垦措施图</w:t>
      </w:r>
    </w:p>
    <w:p>
      <w:pPr>
        <w:spacing w:line="470" w:lineRule="exact"/>
        <w:ind w:firstLine="480" w:firstLineChars="200"/>
        <w:rPr>
          <w:sz w:val="24"/>
        </w:rPr>
      </w:pPr>
      <w:r>
        <w:rPr>
          <w:sz w:val="24"/>
        </w:rPr>
        <w:t>a、覆土平整：</w:t>
      </w:r>
    </w:p>
    <w:p>
      <w:pPr>
        <w:spacing w:line="470" w:lineRule="exact"/>
        <w:ind w:firstLine="480" w:firstLineChars="200"/>
        <w:rPr>
          <w:sz w:val="24"/>
        </w:rPr>
      </w:pPr>
      <w:r>
        <w:rPr>
          <w:sz w:val="24"/>
        </w:rPr>
        <w:t>平台回填土方时添加保水剂</w:t>
      </w:r>
      <w:r>
        <w:rPr>
          <w:rFonts w:hint="eastAsia"/>
          <w:sz w:val="24"/>
        </w:rPr>
        <w:t>***</w:t>
      </w:r>
      <w:r>
        <w:rPr>
          <w:sz w:val="24"/>
        </w:rPr>
        <w:t>g/m</w:t>
      </w:r>
      <w:r>
        <w:rPr>
          <w:sz w:val="24"/>
          <w:vertAlign w:val="superscript"/>
        </w:rPr>
        <w:t>3</w:t>
      </w:r>
      <w:r>
        <w:rPr>
          <w:sz w:val="24"/>
        </w:rPr>
        <w:t>土，并施有机肥</w:t>
      </w:r>
      <w:r>
        <w:rPr>
          <w:rFonts w:hint="eastAsia"/>
          <w:sz w:val="24"/>
        </w:rPr>
        <w:t>***</w:t>
      </w:r>
      <w:r>
        <w:rPr>
          <w:sz w:val="24"/>
        </w:rPr>
        <w:t>Kg/m</w:t>
      </w:r>
      <w:r>
        <w:rPr>
          <w:sz w:val="24"/>
          <w:vertAlign w:val="superscript"/>
        </w:rPr>
        <w:t>3</w:t>
      </w:r>
      <w:r>
        <w:rPr>
          <w:sz w:val="24"/>
        </w:rPr>
        <w:t>土，达到修复为灌木林地的要求。平台覆土方量</w:t>
      </w:r>
      <w:r>
        <w:rPr>
          <w:rFonts w:hint="eastAsia"/>
          <w:sz w:val="24"/>
        </w:rPr>
        <w:t>*****</w:t>
      </w:r>
      <w:r>
        <w:rPr>
          <w:sz w:val="24"/>
        </w:rPr>
        <w:t>m</w:t>
      </w:r>
      <w:r>
        <w:rPr>
          <w:sz w:val="24"/>
          <w:vertAlign w:val="superscript"/>
        </w:rPr>
        <w:t>3；</w:t>
      </w:r>
      <w:r>
        <w:rPr>
          <w:sz w:val="24"/>
        </w:rPr>
        <w:t>在露采场台阶平台，撒播混合草籽进行保水绿化，撒播草籽面积</w:t>
      </w:r>
      <w:r>
        <w:rPr>
          <w:rFonts w:hint="eastAsia"/>
          <w:sz w:val="24"/>
        </w:rPr>
        <w:t>****</w:t>
      </w:r>
      <w:r>
        <w:rPr>
          <w:sz w:val="24"/>
        </w:rPr>
        <w:t>hm</w:t>
      </w:r>
      <w:r>
        <w:rPr>
          <w:sz w:val="24"/>
          <w:vertAlign w:val="superscript"/>
        </w:rPr>
        <w:t>2</w:t>
      </w:r>
      <w:r>
        <w:rPr>
          <w:sz w:val="24"/>
        </w:rPr>
        <w:t>。</w:t>
      </w:r>
    </w:p>
    <w:p>
      <w:pPr>
        <w:spacing w:line="440" w:lineRule="exact"/>
        <w:ind w:left="480"/>
        <w:rPr>
          <w:sz w:val="24"/>
        </w:rPr>
      </w:pPr>
      <w:r>
        <w:rPr>
          <w:sz w:val="24"/>
        </w:rPr>
        <w:t>b、台阶外侧防护栏</w:t>
      </w:r>
    </w:p>
    <w:p>
      <w:pPr>
        <w:spacing w:line="470" w:lineRule="exact"/>
        <w:ind w:firstLine="480" w:firstLineChars="200"/>
        <w:rPr>
          <w:sz w:val="24"/>
        </w:rPr>
      </w:pPr>
      <w:r>
        <w:rPr>
          <w:sz w:val="24"/>
        </w:rPr>
        <w:t>在开采平台的外侧装上防护栏（直径15cm,壁厚3mm），</w:t>
      </w:r>
      <w:r>
        <w:rPr>
          <w:rFonts w:hint="eastAsia"/>
          <w:sz w:val="24"/>
          <w:lang w:val="en-US" w:eastAsia="zh-CN"/>
        </w:rPr>
        <w:t>其中，**m台阶以上</w:t>
      </w:r>
      <w:r>
        <w:rPr>
          <w:sz w:val="24"/>
        </w:rPr>
        <w:t>防护</w:t>
      </w:r>
      <w:bookmarkStart w:id="136" w:name="_GoBack"/>
      <w:bookmarkEnd w:id="136"/>
      <w:r>
        <w:rPr>
          <w:sz w:val="24"/>
        </w:rPr>
        <w:t>栏的高度为</w:t>
      </w:r>
      <w:r>
        <w:rPr>
          <w:rFonts w:hint="eastAsia"/>
          <w:sz w:val="24"/>
          <w:lang w:val="en-US" w:eastAsia="zh-CN"/>
        </w:rPr>
        <w:t>**</w:t>
      </w:r>
      <w:r>
        <w:rPr>
          <w:sz w:val="24"/>
        </w:rPr>
        <w:t>米，</w:t>
      </w:r>
      <w:r>
        <w:rPr>
          <w:rFonts w:hint="eastAsia"/>
          <w:sz w:val="24"/>
          <w:lang w:val="en-US" w:eastAsia="zh-CN"/>
        </w:rPr>
        <w:t>**m台阶</w:t>
      </w:r>
      <w:r>
        <w:rPr>
          <w:sz w:val="24"/>
        </w:rPr>
        <w:t>防护栏</w:t>
      </w:r>
      <w:r>
        <w:rPr>
          <w:rFonts w:hint="eastAsia"/>
          <w:sz w:val="24"/>
          <w:lang w:eastAsia="zh-CN"/>
        </w:rPr>
        <w:t>，</w:t>
      </w:r>
      <w:r>
        <w:rPr>
          <w:rFonts w:hint="eastAsia"/>
          <w:sz w:val="24"/>
          <w:lang w:val="en-US" w:eastAsia="zh-CN"/>
        </w:rPr>
        <w:t>兼作下部水域防护栏，</w:t>
      </w:r>
      <w:r>
        <w:rPr>
          <w:sz w:val="24"/>
        </w:rPr>
        <w:t>高度为</w:t>
      </w:r>
      <w:r>
        <w:rPr>
          <w:rFonts w:hint="eastAsia"/>
          <w:sz w:val="24"/>
          <w:lang w:val="en-US" w:eastAsia="zh-CN"/>
        </w:rPr>
        <w:t>**</w:t>
      </w:r>
      <w:r>
        <w:rPr>
          <w:sz w:val="24"/>
        </w:rPr>
        <w:t>米</w:t>
      </w:r>
      <w:r>
        <w:rPr>
          <w:rFonts w:hint="eastAsia"/>
          <w:sz w:val="24"/>
          <w:lang w:val="en-US" w:eastAsia="zh-CN"/>
        </w:rPr>
        <w:t>，</w:t>
      </w:r>
      <w:r>
        <w:rPr>
          <w:sz w:val="24"/>
        </w:rPr>
        <w:t>从上到下总共布置</w:t>
      </w:r>
      <w:r>
        <w:rPr>
          <w:rFonts w:hint="eastAsia"/>
          <w:sz w:val="24"/>
          <w:lang w:val="en-US" w:eastAsia="zh-CN"/>
        </w:rPr>
        <w:t>**</w:t>
      </w:r>
      <w:r>
        <w:rPr>
          <w:sz w:val="24"/>
        </w:rPr>
        <w:t>根横置的不锈钢材料，</w:t>
      </w:r>
      <w:r>
        <w:rPr>
          <w:rFonts w:hint="eastAsia"/>
          <w:sz w:val="24"/>
          <w:lang w:val="en-US" w:eastAsia="zh-CN"/>
        </w:rPr>
        <w:t>中间采用不锈钢材料连接</w:t>
      </w:r>
      <w:r>
        <w:rPr>
          <w:sz w:val="24"/>
        </w:rPr>
        <w:t>，底部打3个孔，用钢钉固定脚,以防发生掉落危险，孔深</w:t>
      </w:r>
      <w:r>
        <w:rPr>
          <w:rFonts w:hint="eastAsia"/>
          <w:sz w:val="24"/>
        </w:rPr>
        <w:t>***</w:t>
      </w:r>
      <w:r>
        <w:rPr>
          <w:sz w:val="24"/>
        </w:rPr>
        <w:t>米,直径</w:t>
      </w:r>
      <w:r>
        <w:rPr>
          <w:rFonts w:hint="eastAsia"/>
          <w:sz w:val="24"/>
        </w:rPr>
        <w:t>***</w:t>
      </w:r>
      <w:r>
        <w:rPr>
          <w:sz w:val="24"/>
        </w:rPr>
        <w:t>米，一米3个，总共</w:t>
      </w:r>
      <w:r>
        <w:rPr>
          <w:rFonts w:hint="eastAsia"/>
          <w:sz w:val="24"/>
        </w:rPr>
        <w:t>****</w:t>
      </w:r>
      <w:r>
        <w:rPr>
          <w:sz w:val="24"/>
        </w:rPr>
        <w:t>米，钢钉的的规格采用（</w:t>
      </w:r>
      <w:r>
        <w:rPr>
          <w:rFonts w:hint="eastAsia"/>
          <w:sz w:val="24"/>
        </w:rPr>
        <w:t>**</w:t>
      </w:r>
      <w:r>
        <w:rPr>
          <w:sz w:val="24"/>
        </w:rPr>
        <w:t>mm×</w:t>
      </w:r>
      <w:r>
        <w:rPr>
          <w:rFonts w:hint="eastAsia"/>
          <w:sz w:val="24"/>
        </w:rPr>
        <w:t>**</w:t>
      </w:r>
      <w:r>
        <w:rPr>
          <w:sz w:val="24"/>
        </w:rPr>
        <w:t>mm）。</w:t>
      </w:r>
    </w:p>
    <w:p>
      <w:pPr>
        <w:spacing w:line="470" w:lineRule="exact"/>
        <w:ind w:firstLine="480" w:firstLineChars="200"/>
        <w:rPr>
          <w:sz w:val="24"/>
        </w:rPr>
      </w:pPr>
      <w:r>
        <w:rPr>
          <w:sz w:val="24"/>
        </w:rPr>
        <w:t>c、种植爬山虎</w:t>
      </w:r>
    </w:p>
    <w:p>
      <w:pPr>
        <w:spacing w:line="470" w:lineRule="exact"/>
        <w:ind w:firstLine="480" w:firstLineChars="200"/>
        <w:rPr>
          <w:sz w:val="24"/>
        </w:rPr>
      </w:pPr>
      <w:r>
        <w:rPr>
          <w:sz w:val="24"/>
        </w:rPr>
        <w:t>在拟修复边坡打固定短锚杆，之后沿坡面挂绿色土工布。在每层平台及边坡底部以种植爬山虎，藤穴间距</w:t>
      </w:r>
      <w:r>
        <w:rPr>
          <w:rFonts w:hint="eastAsia"/>
          <w:sz w:val="24"/>
        </w:rPr>
        <w:t>***</w:t>
      </w:r>
      <w:r>
        <w:rPr>
          <w:sz w:val="24"/>
        </w:rPr>
        <w:t>m，种植穴采用</w:t>
      </w:r>
      <w:r>
        <w:rPr>
          <w:rFonts w:hint="eastAsia"/>
          <w:sz w:val="24"/>
        </w:rPr>
        <w:t>***</w:t>
      </w:r>
      <w:r>
        <w:rPr>
          <w:sz w:val="24"/>
        </w:rPr>
        <w:t>m×</w:t>
      </w:r>
      <w:r>
        <w:rPr>
          <w:rFonts w:hint="eastAsia"/>
          <w:sz w:val="24"/>
        </w:rPr>
        <w:t>***</w:t>
      </w:r>
      <w:r>
        <w:rPr>
          <w:sz w:val="24"/>
        </w:rPr>
        <w:t>m规格，深度</w:t>
      </w:r>
      <w:r>
        <w:rPr>
          <w:rFonts w:hint="eastAsia"/>
          <w:sz w:val="24"/>
        </w:rPr>
        <w:t>***</w:t>
      </w:r>
      <w:r>
        <w:rPr>
          <w:sz w:val="24"/>
        </w:rPr>
        <w:t>m。底部种植上爬藤植物方式进行复绿，种植间距</w:t>
      </w:r>
      <w:r>
        <w:rPr>
          <w:rFonts w:hint="eastAsia"/>
          <w:sz w:val="24"/>
        </w:rPr>
        <w:t>***</w:t>
      </w:r>
      <w:r>
        <w:rPr>
          <w:sz w:val="24"/>
        </w:rPr>
        <w:t>m/株（3年生容器苗，藤长</w:t>
      </w:r>
      <w:r>
        <w:rPr>
          <w:rFonts w:hint="eastAsia"/>
          <w:sz w:val="24"/>
        </w:rPr>
        <w:t>**</w:t>
      </w:r>
      <w:r>
        <w:rPr>
          <w:sz w:val="24"/>
        </w:rPr>
        <w:t>-</w:t>
      </w:r>
      <w:r>
        <w:rPr>
          <w:rFonts w:hint="eastAsia"/>
          <w:sz w:val="24"/>
        </w:rPr>
        <w:t>***</w:t>
      </w:r>
      <w:r>
        <w:rPr>
          <w:sz w:val="24"/>
        </w:rPr>
        <w:t>米，蔓茎</w:t>
      </w:r>
      <w:r>
        <w:rPr>
          <w:rFonts w:hint="eastAsia"/>
          <w:sz w:val="24"/>
        </w:rPr>
        <w:t>***</w:t>
      </w:r>
      <w:r>
        <w:rPr>
          <w:sz w:val="24"/>
        </w:rPr>
        <w:t>-</w:t>
      </w:r>
      <w:r>
        <w:rPr>
          <w:rFonts w:hint="eastAsia"/>
          <w:sz w:val="24"/>
        </w:rPr>
        <w:t>***</w:t>
      </w:r>
      <w:r>
        <w:rPr>
          <w:sz w:val="24"/>
        </w:rPr>
        <w:t>厘米，土球</w:t>
      </w:r>
      <w:r>
        <w:rPr>
          <w:rFonts w:hint="eastAsia"/>
          <w:sz w:val="24"/>
        </w:rPr>
        <w:t>*</w:t>
      </w:r>
      <w:r>
        <w:rPr>
          <w:sz w:val="24"/>
        </w:rPr>
        <w:t>-</w:t>
      </w:r>
      <w:r>
        <w:rPr>
          <w:rFonts w:hint="eastAsia"/>
          <w:sz w:val="24"/>
        </w:rPr>
        <w:t>**</w:t>
      </w:r>
      <w:r>
        <w:rPr>
          <w:sz w:val="24"/>
        </w:rPr>
        <w:t>厘米）。</w:t>
      </w:r>
    </w:p>
    <w:p>
      <w:pPr>
        <w:rPr>
          <w:sz w:val="24"/>
        </w:rPr>
      </w:pPr>
    </w:p>
    <w:p>
      <w:pPr>
        <w:spacing w:line="470" w:lineRule="exact"/>
        <w:ind w:firstLine="480" w:firstLineChars="200"/>
        <w:rPr>
          <w:sz w:val="24"/>
        </w:rPr>
      </w:pPr>
      <w:r>
        <w:rPr>
          <w:rFonts w:hint="eastAsia" w:ascii="宋体" w:hAnsi="宋体" w:cs="宋体"/>
          <w:sz w:val="24"/>
        </w:rPr>
        <w:t>②</w:t>
      </w:r>
      <w:r>
        <w:rPr>
          <w:sz w:val="24"/>
        </w:rPr>
        <w:t>矿部及地面建设区生态修复工程</w:t>
      </w:r>
    </w:p>
    <w:p>
      <w:pPr>
        <w:spacing w:line="470" w:lineRule="exact"/>
        <w:ind w:firstLine="480" w:firstLineChars="200"/>
        <w:rPr>
          <w:sz w:val="24"/>
        </w:rPr>
      </w:pPr>
      <w:r>
        <w:rPr>
          <w:sz w:val="24"/>
        </w:rPr>
        <w:t>矿山矿部和工业广场等地面设施区转型为建设用地，并取得相关建设用地手续，但大部分区域未取得相关手续，因此本次方案拟修复为林地。</w:t>
      </w:r>
    </w:p>
    <w:p>
      <w:pPr>
        <w:spacing w:line="470" w:lineRule="exact"/>
        <w:ind w:firstLine="480" w:firstLineChars="200"/>
        <w:rPr>
          <w:sz w:val="24"/>
        </w:rPr>
      </w:pPr>
      <w:r>
        <w:rPr>
          <w:sz w:val="24"/>
        </w:rPr>
        <w:t>其工程内容包括：</w:t>
      </w:r>
      <w:bookmarkStart w:id="71" w:name="_Hlk74312931"/>
      <w:r>
        <w:rPr>
          <w:sz w:val="24"/>
        </w:rPr>
        <w:t>设施基础拆除工程、渣土清运工程、覆土平整，土地培肥，植树种草。</w:t>
      </w:r>
    </w:p>
    <w:bookmarkEnd w:id="71"/>
    <w:p>
      <w:pPr>
        <w:spacing w:line="470" w:lineRule="exact"/>
        <w:ind w:firstLine="480" w:firstLineChars="200"/>
        <w:rPr>
          <w:sz w:val="24"/>
        </w:rPr>
      </w:pPr>
      <w:r>
        <w:rPr>
          <w:sz w:val="24"/>
        </w:rPr>
        <w:t>a、工业广场和矿部建筑面</w:t>
      </w:r>
      <w:r>
        <w:rPr>
          <w:rFonts w:hint="eastAsia"/>
          <w:sz w:val="24"/>
        </w:rPr>
        <w:t>****</w:t>
      </w:r>
      <w:r>
        <w:rPr>
          <w:sz w:val="24"/>
        </w:rPr>
        <w:t>m</w:t>
      </w:r>
      <w:r>
        <w:rPr>
          <w:sz w:val="24"/>
          <w:vertAlign w:val="superscript"/>
        </w:rPr>
        <w:t>2</w:t>
      </w:r>
      <w:r>
        <w:rPr>
          <w:sz w:val="24"/>
        </w:rPr>
        <w:t>，进行设施基础拆除、硬化层剥离。拆除场地面积（矿部和工业场棚</w:t>
      </w:r>
      <w:r>
        <w:rPr>
          <w:rFonts w:hint="eastAsia"/>
          <w:sz w:val="24"/>
        </w:rPr>
        <w:t>****</w:t>
      </w:r>
      <w:r>
        <w:rPr>
          <w:sz w:val="24"/>
        </w:rPr>
        <w:t>m</w:t>
      </w:r>
      <w:r>
        <w:rPr>
          <w:sz w:val="24"/>
          <w:vertAlign w:val="superscript"/>
        </w:rPr>
        <w:t>2</w:t>
      </w:r>
      <w:r>
        <w:rPr>
          <w:sz w:val="24"/>
        </w:rPr>
        <w:t>，治理区总的硬化物拆除量为</w:t>
      </w:r>
      <w:r>
        <w:rPr>
          <w:rFonts w:hint="eastAsia"/>
          <w:sz w:val="24"/>
        </w:rPr>
        <w:t>******</w:t>
      </w:r>
      <w:r>
        <w:rPr>
          <w:sz w:val="24"/>
        </w:rPr>
        <w:t>m</w:t>
      </w:r>
      <w:r>
        <w:rPr>
          <w:sz w:val="24"/>
          <w:vertAlign w:val="superscript"/>
        </w:rPr>
        <w:t>3</w:t>
      </w:r>
      <w:r>
        <w:rPr>
          <w:sz w:val="24"/>
        </w:rPr>
        <w:t>、渣土清运量</w:t>
      </w:r>
      <w:r>
        <w:rPr>
          <w:rFonts w:hint="eastAsia"/>
          <w:sz w:val="24"/>
        </w:rPr>
        <w:t>******</w:t>
      </w:r>
      <w:r>
        <w:rPr>
          <w:sz w:val="24"/>
        </w:rPr>
        <w:t>m</w:t>
      </w:r>
      <w:r>
        <w:rPr>
          <w:sz w:val="24"/>
          <w:vertAlign w:val="superscript"/>
        </w:rPr>
        <w:t>3</w:t>
      </w:r>
      <w:r>
        <w:rPr>
          <w:sz w:val="24"/>
        </w:rPr>
        <w:t>。</w:t>
      </w:r>
    </w:p>
    <w:p>
      <w:pPr>
        <w:spacing w:line="470" w:lineRule="exact"/>
        <w:ind w:firstLine="480" w:firstLineChars="200"/>
        <w:rPr>
          <w:sz w:val="24"/>
        </w:rPr>
      </w:pPr>
      <w:r>
        <w:rPr>
          <w:sz w:val="24"/>
        </w:rPr>
        <w:t>b、利用机械对工业广场区等进行表层清理后，进行挖翻松土（深度</w:t>
      </w:r>
      <w:r>
        <w:rPr>
          <w:rFonts w:hint="eastAsia"/>
          <w:sz w:val="24"/>
        </w:rPr>
        <w:t>***</w:t>
      </w:r>
      <w:r>
        <w:rPr>
          <w:sz w:val="24"/>
        </w:rPr>
        <w:t>m左右）、平整，达到修复为林地、草地的要求。共需进行场地平整面积</w:t>
      </w:r>
      <w:r>
        <w:rPr>
          <w:rFonts w:hint="eastAsia"/>
          <w:sz w:val="24"/>
        </w:rPr>
        <w:t>******</w:t>
      </w:r>
      <w:r>
        <w:rPr>
          <w:sz w:val="24"/>
        </w:rPr>
        <w:t>hm</w:t>
      </w:r>
      <w:r>
        <w:rPr>
          <w:sz w:val="24"/>
          <w:vertAlign w:val="superscript"/>
        </w:rPr>
        <w:t>2</w:t>
      </w:r>
      <w:r>
        <w:rPr>
          <w:sz w:val="24"/>
        </w:rPr>
        <w:t>。</w:t>
      </w:r>
    </w:p>
    <w:p>
      <w:pPr>
        <w:spacing w:line="470" w:lineRule="exact"/>
        <w:ind w:firstLine="480" w:firstLineChars="200"/>
        <w:rPr>
          <w:sz w:val="24"/>
        </w:rPr>
      </w:pPr>
      <w:r>
        <w:rPr>
          <w:sz w:val="24"/>
        </w:rPr>
        <w:t>c、覆土翻耕复垦工程</w:t>
      </w:r>
    </w:p>
    <w:p>
      <w:pPr>
        <w:spacing w:line="470" w:lineRule="exact"/>
        <w:ind w:firstLine="480" w:firstLineChars="200"/>
        <w:rPr>
          <w:sz w:val="24"/>
        </w:rPr>
      </w:pPr>
      <w:r>
        <w:rPr>
          <w:sz w:val="24"/>
        </w:rPr>
        <w:t>设计林地区覆土厚度为</w:t>
      </w:r>
      <w:r>
        <w:rPr>
          <w:rFonts w:hint="eastAsia"/>
          <w:sz w:val="24"/>
        </w:rPr>
        <w:t>**</w:t>
      </w:r>
      <w:r>
        <w:rPr>
          <w:sz w:val="24"/>
        </w:rPr>
        <w:t>m，覆土前树坑进行标识（测量）定位，覆土后进行人工细部翻耕平整，每立方米土添加保水剂100g，每立方米施1-2kg有机肥，保持土壤肥力。场区整平完整、开挖植树坑，按3.0×3.0m布置，种植柏木，乔木植树坑圆形，直径0.6m、深≥0.5m，坑内铺膜、添加保水剂、施有机肥。共计覆土方量</w:t>
      </w:r>
      <w:r>
        <w:rPr>
          <w:rFonts w:hint="eastAsia"/>
          <w:sz w:val="24"/>
        </w:rPr>
        <w:t>****</w:t>
      </w:r>
      <w:r>
        <w:rPr>
          <w:sz w:val="24"/>
        </w:rPr>
        <w:t>m</w:t>
      </w:r>
      <w:r>
        <w:rPr>
          <w:sz w:val="24"/>
          <w:vertAlign w:val="superscript"/>
        </w:rPr>
        <w:t>3</w:t>
      </w:r>
      <w:r>
        <w:rPr>
          <w:sz w:val="24"/>
        </w:rPr>
        <w:t>，复垦林地面积</w:t>
      </w:r>
      <w:r>
        <w:rPr>
          <w:rFonts w:hint="eastAsia"/>
          <w:sz w:val="24"/>
        </w:rPr>
        <w:t>*****</w:t>
      </w:r>
      <w:r>
        <w:rPr>
          <w:sz w:val="24"/>
        </w:rPr>
        <w:t>hm</w:t>
      </w:r>
      <w:r>
        <w:rPr>
          <w:sz w:val="24"/>
          <w:vertAlign w:val="superscript"/>
        </w:rPr>
        <w:t>2</w:t>
      </w:r>
      <w:r>
        <w:rPr>
          <w:sz w:val="24"/>
        </w:rPr>
        <w:t>，种植柏木等</w:t>
      </w:r>
      <w:r>
        <w:rPr>
          <w:rFonts w:hint="eastAsia"/>
          <w:sz w:val="24"/>
        </w:rPr>
        <w:t>****</w:t>
      </w:r>
      <w:r>
        <w:rPr>
          <w:sz w:val="24"/>
        </w:rPr>
        <w:t>株，撒播草籽</w:t>
      </w:r>
      <w:r>
        <w:rPr>
          <w:rFonts w:hint="eastAsia"/>
          <w:sz w:val="24"/>
        </w:rPr>
        <w:t>*****</w:t>
      </w:r>
      <w:r>
        <w:rPr>
          <w:sz w:val="24"/>
        </w:rPr>
        <w:t>hm</w:t>
      </w:r>
      <w:r>
        <w:rPr>
          <w:sz w:val="24"/>
          <w:vertAlign w:val="superscript"/>
        </w:rPr>
        <w:t>2</w:t>
      </w:r>
      <w:r>
        <w:rPr>
          <w:sz w:val="24"/>
        </w:rPr>
        <w:t>。</w:t>
      </w:r>
    </w:p>
    <w:p>
      <w:pPr>
        <w:spacing w:line="470" w:lineRule="exact"/>
        <w:ind w:firstLine="480" w:firstLineChars="200"/>
        <w:rPr>
          <w:sz w:val="24"/>
        </w:rPr>
      </w:pPr>
      <w:r>
        <w:rPr>
          <w:sz w:val="24"/>
        </w:rPr>
        <w:t>3、水环境水生态保护工程</w:t>
      </w:r>
    </w:p>
    <w:p>
      <w:pPr>
        <w:spacing w:line="470" w:lineRule="exact"/>
        <w:ind w:firstLine="480" w:firstLineChars="200"/>
        <w:rPr>
          <w:sz w:val="24"/>
        </w:rPr>
      </w:pPr>
      <w:r>
        <w:rPr>
          <w:sz w:val="24"/>
        </w:rPr>
        <w:t>本方案设计新增1个沉淀池，对采坑积水和工业广场淋滤废水进行收集、沉淀处理。本方案初步设计1个沉淀池，具体以生态环境部门的专项设计为准。</w:t>
      </w:r>
    </w:p>
    <w:p>
      <w:pPr>
        <w:adjustRightInd w:val="0"/>
        <w:snapToGrid w:val="0"/>
        <w:spacing w:line="360" w:lineRule="auto"/>
        <w:ind w:firstLine="480" w:firstLineChars="200"/>
        <w:rPr>
          <w:sz w:val="24"/>
        </w:rPr>
      </w:pPr>
      <w:r>
        <w:rPr>
          <w:sz w:val="24"/>
        </w:rPr>
        <w:t>（1）涌水量预测</w:t>
      </w:r>
    </w:p>
    <w:p>
      <w:pPr>
        <w:snapToGrid w:val="0"/>
        <w:spacing w:line="360" w:lineRule="auto"/>
        <w:ind w:firstLine="480" w:firstLineChars="200"/>
        <w:rPr>
          <w:sz w:val="24"/>
        </w:rPr>
      </w:pPr>
      <w:r>
        <w:rPr>
          <w:sz w:val="24"/>
        </w:rPr>
        <w:t>根据圈定的采场境界，采场面积</w:t>
      </w:r>
      <w:r>
        <w:rPr>
          <w:rFonts w:hint="eastAsia"/>
          <w:sz w:val="24"/>
        </w:rPr>
        <w:t>******</w:t>
      </w:r>
      <w:r>
        <w:rPr>
          <w:sz w:val="24"/>
        </w:rPr>
        <w:t>Km</w:t>
      </w:r>
      <w:r>
        <w:rPr>
          <w:sz w:val="24"/>
          <w:vertAlign w:val="superscript"/>
        </w:rPr>
        <w:t>2</w:t>
      </w:r>
      <w:r>
        <w:rPr>
          <w:sz w:val="24"/>
        </w:rPr>
        <w:t>，采场上游汇水面积F=</w:t>
      </w:r>
      <w:r>
        <w:rPr>
          <w:rFonts w:hint="eastAsia"/>
          <w:sz w:val="24"/>
        </w:rPr>
        <w:t>*****</w:t>
      </w:r>
      <w:r>
        <w:rPr>
          <w:sz w:val="24"/>
        </w:rPr>
        <w:t>km</w:t>
      </w:r>
      <w:r>
        <w:rPr>
          <w:sz w:val="24"/>
          <w:vertAlign w:val="superscript"/>
        </w:rPr>
        <w:t>2</w:t>
      </w:r>
      <w:r>
        <w:rPr>
          <w:sz w:val="24"/>
        </w:rPr>
        <w:t>，流域长度L=</w:t>
      </w:r>
      <w:r>
        <w:rPr>
          <w:rFonts w:hint="eastAsia"/>
          <w:sz w:val="24"/>
        </w:rPr>
        <w:t>****</w:t>
      </w:r>
      <w:r>
        <w:rPr>
          <w:sz w:val="24"/>
        </w:rPr>
        <w:t>km，平均坡降J=</w:t>
      </w:r>
      <w:r>
        <w:rPr>
          <w:rFonts w:hint="eastAsia"/>
          <w:sz w:val="24"/>
        </w:rPr>
        <w:t>****</w:t>
      </w:r>
      <w:r>
        <w:rPr>
          <w:sz w:val="24"/>
        </w:rPr>
        <w:t>。</w:t>
      </w:r>
    </w:p>
    <w:p>
      <w:pPr>
        <w:adjustRightInd w:val="0"/>
        <w:snapToGrid w:val="0"/>
        <w:spacing w:line="360" w:lineRule="auto"/>
        <w:ind w:firstLine="480" w:firstLineChars="200"/>
        <w:jc w:val="left"/>
        <w:rPr>
          <w:kern w:val="0"/>
          <w:sz w:val="24"/>
          <w:szCs w:val="20"/>
        </w:rPr>
      </w:pPr>
      <w:r>
        <w:rPr>
          <w:kern w:val="0"/>
          <w:sz w:val="24"/>
          <w:szCs w:val="20"/>
        </w:rPr>
        <w:t>正常降雨迳流量按下式计算：</w:t>
      </w:r>
    </w:p>
    <w:p>
      <w:pPr>
        <w:adjustRightInd w:val="0"/>
        <w:spacing w:line="360" w:lineRule="auto"/>
        <w:ind w:firstLine="420" w:firstLineChars="200"/>
        <w:jc w:val="center"/>
        <w:rPr>
          <w:kern w:val="0"/>
          <w:sz w:val="24"/>
          <w:szCs w:val="20"/>
        </w:rPr>
      </w:pPr>
      <w:r>
        <w:rPr>
          <w:position w:val="-24"/>
        </w:rPr>
        <w:object>
          <v:shape id="_x0000_i1025" o:spt="75" type="#_x0000_t75" style="height:37.5pt;width:65.25pt;" o:ole="t" filled="f" o:preferrelative="t" stroked="f" coordsize="21600,21600">
            <v:path/>
            <v:fill on="f" focussize="0,0"/>
            <v:stroke on="f" joinstyle="miter"/>
            <v:imagedata r:id="rId55" o:title=""/>
            <o:lock v:ext="edit" aspectratio="t"/>
            <w10:wrap type="none"/>
            <w10:anchorlock/>
          </v:shape>
          <o:OLEObject Type="Embed" ProgID="Equation.DSMT4" ShapeID="_x0000_i1025" DrawAspect="Content" ObjectID="_1468075725" r:id="rId54">
            <o:LockedField>false</o:LockedField>
          </o:OLEObject>
        </w:object>
      </w:r>
    </w:p>
    <w:p>
      <w:pPr>
        <w:adjustRightInd w:val="0"/>
        <w:spacing w:line="360" w:lineRule="auto"/>
        <w:ind w:firstLine="480" w:firstLineChars="200"/>
        <w:jc w:val="left"/>
        <w:rPr>
          <w:kern w:val="0"/>
          <w:sz w:val="24"/>
          <w:szCs w:val="20"/>
        </w:rPr>
      </w:pPr>
      <w:r>
        <w:rPr>
          <w:kern w:val="0"/>
          <w:sz w:val="24"/>
          <w:szCs w:val="20"/>
        </w:rPr>
        <w:t>式中：Q——正常降雨迳流量，m</w:t>
      </w:r>
      <w:r>
        <w:rPr>
          <w:kern w:val="0"/>
          <w:sz w:val="24"/>
          <w:szCs w:val="20"/>
          <w:vertAlign w:val="superscript"/>
        </w:rPr>
        <w:t>3</w:t>
      </w:r>
      <w:r>
        <w:rPr>
          <w:kern w:val="0"/>
          <w:sz w:val="24"/>
          <w:szCs w:val="20"/>
        </w:rPr>
        <w:t>/h；</w:t>
      </w:r>
    </w:p>
    <w:p>
      <w:pPr>
        <w:adjustRightInd w:val="0"/>
        <w:spacing w:line="360" w:lineRule="auto"/>
        <w:ind w:firstLine="1200" w:firstLineChars="500"/>
        <w:jc w:val="left"/>
        <w:rPr>
          <w:kern w:val="0"/>
          <w:sz w:val="24"/>
          <w:szCs w:val="20"/>
        </w:rPr>
      </w:pPr>
      <w:r>
        <w:rPr>
          <w:kern w:val="0"/>
          <w:sz w:val="24"/>
          <w:szCs w:val="20"/>
        </w:rPr>
        <w:t>α——迳流系数，本次取</w:t>
      </w:r>
      <w:r>
        <w:rPr>
          <w:rFonts w:hint="eastAsia"/>
          <w:kern w:val="0"/>
          <w:sz w:val="24"/>
          <w:szCs w:val="20"/>
        </w:rPr>
        <w:t>**</w:t>
      </w:r>
      <w:r>
        <w:rPr>
          <w:kern w:val="0"/>
          <w:sz w:val="24"/>
          <w:szCs w:val="20"/>
        </w:rPr>
        <w:t>；</w:t>
      </w:r>
    </w:p>
    <w:p>
      <w:pPr>
        <w:adjustRightInd w:val="0"/>
        <w:spacing w:line="360" w:lineRule="auto"/>
        <w:ind w:firstLine="1200" w:firstLineChars="500"/>
        <w:jc w:val="left"/>
        <w:rPr>
          <w:kern w:val="0"/>
          <w:sz w:val="24"/>
          <w:szCs w:val="20"/>
        </w:rPr>
      </w:pPr>
      <w:r>
        <w:rPr>
          <w:kern w:val="0"/>
          <w:sz w:val="24"/>
          <w:szCs w:val="20"/>
        </w:rPr>
        <w:t>H</w:t>
      </w:r>
      <w:r>
        <w:rPr>
          <w:kern w:val="0"/>
          <w:sz w:val="24"/>
          <w:szCs w:val="20"/>
          <w:vertAlign w:val="subscript"/>
        </w:rPr>
        <w:t>1</w:t>
      </w:r>
      <w:r>
        <w:rPr>
          <w:kern w:val="0"/>
          <w:sz w:val="24"/>
          <w:szCs w:val="20"/>
        </w:rPr>
        <w:t>——</w:t>
      </w:r>
      <w:r>
        <w:rPr>
          <w:sz w:val="24"/>
        </w:rPr>
        <w:t>日平均降雨量，取多年月平均最大降雨量时日均值为</w:t>
      </w:r>
      <w:r>
        <w:rPr>
          <w:rFonts w:hint="eastAsia"/>
          <w:sz w:val="24"/>
        </w:rPr>
        <w:t>****</w:t>
      </w:r>
      <w:r>
        <w:rPr>
          <w:sz w:val="24"/>
        </w:rPr>
        <w:t>mm</w:t>
      </w:r>
      <w:r>
        <w:rPr>
          <w:kern w:val="0"/>
          <w:sz w:val="24"/>
          <w:szCs w:val="20"/>
        </w:rPr>
        <w:t>；</w:t>
      </w:r>
    </w:p>
    <w:p>
      <w:pPr>
        <w:adjustRightInd w:val="0"/>
        <w:spacing w:line="360" w:lineRule="auto"/>
        <w:ind w:firstLine="1080" w:firstLineChars="450"/>
        <w:jc w:val="left"/>
        <w:rPr>
          <w:kern w:val="0"/>
          <w:sz w:val="24"/>
          <w:szCs w:val="20"/>
        </w:rPr>
      </w:pPr>
      <w:r>
        <w:rPr>
          <w:kern w:val="0"/>
          <w:sz w:val="24"/>
          <w:szCs w:val="20"/>
        </w:rPr>
        <w:t>F——汇水面积，</w:t>
      </w:r>
      <w:r>
        <w:rPr>
          <w:rFonts w:hint="eastAsia"/>
          <w:kern w:val="0"/>
          <w:sz w:val="24"/>
          <w:szCs w:val="20"/>
        </w:rPr>
        <w:t>*****</w:t>
      </w:r>
      <w:r>
        <w:rPr>
          <w:kern w:val="0"/>
          <w:sz w:val="24"/>
          <w:szCs w:val="20"/>
        </w:rPr>
        <w:t>Km</w:t>
      </w:r>
      <w:r>
        <w:rPr>
          <w:kern w:val="0"/>
          <w:sz w:val="24"/>
          <w:szCs w:val="20"/>
          <w:vertAlign w:val="superscript"/>
        </w:rPr>
        <w:t>2</w:t>
      </w:r>
      <w:r>
        <w:rPr>
          <w:kern w:val="0"/>
          <w:sz w:val="24"/>
          <w:szCs w:val="20"/>
        </w:rPr>
        <w:t>；</w:t>
      </w:r>
    </w:p>
    <w:p>
      <w:pPr>
        <w:adjustRightInd w:val="0"/>
        <w:spacing w:line="360" w:lineRule="auto"/>
        <w:ind w:firstLine="480" w:firstLineChars="200"/>
        <w:jc w:val="left"/>
        <w:rPr>
          <w:kern w:val="0"/>
          <w:sz w:val="24"/>
        </w:rPr>
      </w:pPr>
      <w:r>
        <w:rPr>
          <w:kern w:val="0"/>
          <w:sz w:val="24"/>
          <w:szCs w:val="20"/>
        </w:rPr>
        <w:t>计算后得，</w:t>
      </w:r>
      <w:r>
        <w:rPr>
          <w:sz w:val="24"/>
        </w:rPr>
        <w:t>采场上游正常降雨迳流量为</w:t>
      </w:r>
      <w:r>
        <w:rPr>
          <w:kern w:val="0"/>
          <w:sz w:val="24"/>
          <w:szCs w:val="20"/>
        </w:rPr>
        <w:t>，Q=</w:t>
      </w:r>
      <w:r>
        <w:rPr>
          <w:rFonts w:hint="eastAsia"/>
          <w:kern w:val="0"/>
          <w:sz w:val="24"/>
          <w:szCs w:val="20"/>
        </w:rPr>
        <w:t>*****</w:t>
      </w:r>
      <w:r>
        <w:rPr>
          <w:kern w:val="0"/>
          <w:sz w:val="24"/>
          <w:szCs w:val="20"/>
        </w:rPr>
        <w:t>m</w:t>
      </w:r>
      <w:r>
        <w:rPr>
          <w:kern w:val="0"/>
          <w:sz w:val="24"/>
          <w:szCs w:val="20"/>
          <w:vertAlign w:val="superscript"/>
        </w:rPr>
        <w:t>3</w:t>
      </w:r>
      <w:r>
        <w:rPr>
          <w:kern w:val="0"/>
          <w:sz w:val="24"/>
          <w:szCs w:val="20"/>
        </w:rPr>
        <w:t>/h。</w:t>
      </w:r>
    </w:p>
    <w:p>
      <w:pPr>
        <w:adjustRightInd w:val="0"/>
        <w:spacing w:line="360" w:lineRule="auto"/>
        <w:ind w:firstLine="480" w:firstLineChars="200"/>
        <w:jc w:val="left"/>
        <w:rPr>
          <w:kern w:val="0"/>
          <w:sz w:val="24"/>
          <w:szCs w:val="20"/>
        </w:rPr>
      </w:pPr>
      <w:r>
        <w:rPr>
          <w:kern w:val="0"/>
          <w:sz w:val="24"/>
          <w:szCs w:val="20"/>
        </w:rPr>
        <w:t>（2）沉淀池设计</w:t>
      </w:r>
    </w:p>
    <w:p>
      <w:pPr>
        <w:adjustRightInd w:val="0"/>
        <w:spacing w:line="360" w:lineRule="auto"/>
        <w:ind w:firstLine="480" w:firstLineChars="200"/>
        <w:jc w:val="left"/>
        <w:rPr>
          <w:kern w:val="0"/>
          <w:sz w:val="24"/>
          <w:szCs w:val="20"/>
        </w:rPr>
      </w:pPr>
      <w:r>
        <w:rPr>
          <w:kern w:val="0"/>
          <w:sz w:val="24"/>
          <w:szCs w:val="20"/>
        </w:rPr>
        <w:t>本矿设计的沉淀池为平流沉淀池，共1个。采用以下公式：</w:t>
      </w:r>
    </w:p>
    <w:p>
      <w:pPr>
        <w:adjustRightInd w:val="0"/>
        <w:spacing w:line="360" w:lineRule="auto"/>
        <w:ind w:firstLine="480" w:firstLineChars="200"/>
        <w:jc w:val="left"/>
        <w:rPr>
          <w:kern w:val="0"/>
          <w:sz w:val="24"/>
          <w:szCs w:val="20"/>
        </w:rPr>
      </w:pPr>
      <w:r>
        <w:rPr>
          <w:kern w:val="0"/>
          <w:sz w:val="24"/>
          <w:szCs w:val="20"/>
        </w:rPr>
        <w:t xml:space="preserve">A=Q/q′；              </w:t>
      </w:r>
    </w:p>
    <w:p>
      <w:pPr>
        <w:adjustRightInd w:val="0"/>
        <w:spacing w:line="360" w:lineRule="auto"/>
        <w:ind w:firstLine="480" w:firstLineChars="200"/>
        <w:jc w:val="left"/>
        <w:rPr>
          <w:kern w:val="0"/>
          <w:sz w:val="24"/>
          <w:szCs w:val="20"/>
        </w:rPr>
      </w:pPr>
      <w:r>
        <w:rPr>
          <w:kern w:val="0"/>
          <w:sz w:val="24"/>
          <w:szCs w:val="20"/>
        </w:rPr>
        <w:t xml:space="preserve">h2=q′t；                 </w:t>
      </w:r>
    </w:p>
    <w:p>
      <w:pPr>
        <w:adjustRightInd w:val="0"/>
        <w:spacing w:line="360" w:lineRule="auto"/>
        <w:ind w:firstLine="480" w:firstLineChars="200"/>
        <w:jc w:val="left"/>
        <w:rPr>
          <w:kern w:val="0"/>
          <w:sz w:val="24"/>
          <w:szCs w:val="20"/>
        </w:rPr>
      </w:pPr>
      <w:r>
        <w:rPr>
          <w:kern w:val="0"/>
          <w:sz w:val="24"/>
          <w:szCs w:val="20"/>
        </w:rPr>
        <w:t>L=vt×3.6；</w:t>
      </w:r>
    </w:p>
    <w:p>
      <w:pPr>
        <w:adjustRightInd w:val="0"/>
        <w:spacing w:line="360" w:lineRule="auto"/>
        <w:ind w:firstLine="480" w:firstLineChars="200"/>
        <w:jc w:val="left"/>
        <w:rPr>
          <w:kern w:val="0"/>
          <w:sz w:val="24"/>
          <w:szCs w:val="20"/>
        </w:rPr>
      </w:pPr>
      <w:r>
        <w:rPr>
          <w:kern w:val="0"/>
          <w:sz w:val="24"/>
          <w:szCs w:val="20"/>
        </w:rPr>
        <w:t xml:space="preserve">B=A/L；           </w:t>
      </w:r>
    </w:p>
    <w:p>
      <w:pPr>
        <w:adjustRightInd w:val="0"/>
        <w:spacing w:line="360" w:lineRule="auto"/>
        <w:ind w:firstLine="480" w:firstLineChars="200"/>
        <w:jc w:val="left"/>
        <w:rPr>
          <w:kern w:val="0"/>
          <w:sz w:val="24"/>
          <w:szCs w:val="20"/>
        </w:rPr>
      </w:pPr>
      <w:r>
        <w:rPr>
          <w:kern w:val="0"/>
          <w:sz w:val="24"/>
          <w:szCs w:val="20"/>
        </w:rPr>
        <w:t xml:space="preserve">b=B/n；          </w:t>
      </w:r>
    </w:p>
    <w:p>
      <w:pPr>
        <w:adjustRightInd w:val="0"/>
        <w:spacing w:line="360" w:lineRule="auto"/>
        <w:ind w:firstLine="480" w:firstLineChars="200"/>
        <w:jc w:val="left"/>
        <w:rPr>
          <w:kern w:val="0"/>
          <w:sz w:val="24"/>
          <w:szCs w:val="20"/>
        </w:rPr>
      </w:pPr>
      <w:r>
        <w:rPr>
          <w:kern w:val="0"/>
          <w:sz w:val="24"/>
          <w:szCs w:val="20"/>
        </w:rPr>
        <w:t>H=h1+h2</w:t>
      </w:r>
    </w:p>
    <w:p>
      <w:pPr>
        <w:adjustRightInd w:val="0"/>
        <w:spacing w:line="360" w:lineRule="auto"/>
        <w:ind w:firstLine="480" w:firstLineChars="200"/>
        <w:jc w:val="left"/>
        <w:rPr>
          <w:kern w:val="0"/>
          <w:sz w:val="24"/>
          <w:szCs w:val="20"/>
        </w:rPr>
      </w:pPr>
      <w:r>
        <w:rPr>
          <w:kern w:val="0"/>
          <w:sz w:val="24"/>
          <w:szCs w:val="20"/>
        </w:rPr>
        <w:t>式中：Q-排水量，m3/h；</w:t>
      </w:r>
    </w:p>
    <w:p>
      <w:pPr>
        <w:adjustRightInd w:val="0"/>
        <w:spacing w:line="360" w:lineRule="auto"/>
        <w:ind w:firstLine="480" w:firstLineChars="200"/>
        <w:jc w:val="left"/>
        <w:rPr>
          <w:kern w:val="0"/>
          <w:sz w:val="24"/>
          <w:szCs w:val="20"/>
        </w:rPr>
      </w:pPr>
      <w:r>
        <w:rPr>
          <w:kern w:val="0"/>
          <w:sz w:val="24"/>
          <w:szCs w:val="20"/>
        </w:rPr>
        <w:t>A-沉淀池总面积，m2；</w:t>
      </w:r>
    </w:p>
    <w:p>
      <w:pPr>
        <w:adjustRightInd w:val="0"/>
        <w:spacing w:line="360" w:lineRule="auto"/>
        <w:ind w:firstLine="480" w:firstLineChars="200"/>
        <w:jc w:val="left"/>
        <w:rPr>
          <w:kern w:val="0"/>
          <w:sz w:val="24"/>
          <w:szCs w:val="20"/>
        </w:rPr>
      </w:pPr>
      <w:r>
        <w:rPr>
          <w:kern w:val="0"/>
          <w:sz w:val="24"/>
          <w:szCs w:val="20"/>
        </w:rPr>
        <w:t>q′-水力负荷，m3/（m2·h），按规范取1.8；</w:t>
      </w:r>
    </w:p>
    <w:p>
      <w:pPr>
        <w:spacing w:line="460" w:lineRule="exact"/>
        <w:ind w:firstLine="1200" w:firstLineChars="500"/>
        <w:rPr>
          <w:sz w:val="24"/>
        </w:rPr>
      </w:pPr>
      <w:r>
        <w:rPr>
          <w:sz w:val="24"/>
        </w:rPr>
        <w:t>h-有效水深，m；L-池长，m；</w:t>
      </w:r>
    </w:p>
    <w:p>
      <w:pPr>
        <w:spacing w:line="460" w:lineRule="exact"/>
        <w:ind w:firstLine="1200" w:firstLineChars="500"/>
        <w:rPr>
          <w:sz w:val="24"/>
        </w:rPr>
      </w:pPr>
      <w:r>
        <w:rPr>
          <w:sz w:val="24"/>
        </w:rPr>
        <w:t>v-水平流速，mm/s，取10mm/s；</w:t>
      </w:r>
    </w:p>
    <w:p>
      <w:pPr>
        <w:spacing w:line="460" w:lineRule="exact"/>
        <w:ind w:firstLine="1200" w:firstLineChars="500"/>
        <w:rPr>
          <w:sz w:val="24"/>
        </w:rPr>
      </w:pPr>
      <w:r>
        <w:rPr>
          <w:sz w:val="24"/>
        </w:rPr>
        <w:t>B-沉淀池总宽度，m；n-沉淀池级数；</w:t>
      </w:r>
    </w:p>
    <w:p>
      <w:pPr>
        <w:spacing w:line="460" w:lineRule="exact"/>
        <w:ind w:firstLine="1200" w:firstLineChars="500"/>
        <w:rPr>
          <w:sz w:val="24"/>
        </w:rPr>
      </w:pPr>
      <w:r>
        <w:rPr>
          <w:sz w:val="24"/>
        </w:rPr>
        <w:t>b-沉淀池单池宽，m；t-沉淀时间，值1.0h。</w:t>
      </w:r>
    </w:p>
    <w:p>
      <w:pPr>
        <w:adjustRightInd w:val="0"/>
        <w:snapToGrid w:val="0"/>
        <w:spacing w:line="360" w:lineRule="auto"/>
        <w:ind w:firstLine="480" w:firstLineChars="200"/>
        <w:rPr>
          <w:sz w:val="24"/>
        </w:rPr>
      </w:pPr>
      <w:r>
        <w:rPr>
          <w:sz w:val="24"/>
        </w:rPr>
        <w:t>计算得单个沉淀池S=</w:t>
      </w:r>
      <w:r>
        <w:rPr>
          <w:rFonts w:hint="eastAsia"/>
          <w:sz w:val="24"/>
        </w:rPr>
        <w:t>****</w:t>
      </w:r>
      <w:r>
        <w:rPr>
          <w:sz w:val="24"/>
        </w:rPr>
        <w:t>m</w:t>
      </w:r>
      <w:r>
        <w:rPr>
          <w:sz w:val="24"/>
          <w:vertAlign w:val="superscript"/>
        </w:rPr>
        <w:t>2</w:t>
      </w:r>
      <w:r>
        <w:rPr>
          <w:sz w:val="24"/>
        </w:rPr>
        <w:t>，</w:t>
      </w:r>
      <w:r>
        <w:rPr>
          <w:position w:val="-6"/>
          <w:sz w:val="24"/>
        </w:rPr>
        <w:object>
          <v:shape id="_x0000_i1026" o:spt="75" type="#_x0000_t75" style="height:16.5pt;width:6.75pt;" o:ole="t" filled="f" o:preferrelative="t" stroked="f" coordsize="21600,21600">
            <v:path/>
            <v:fill on="f" focussize="0,0"/>
            <v:stroke on="f" joinstyle="miter"/>
            <v:imagedata r:id="rId57" o:title=""/>
            <o:lock v:ext="edit" aspectratio="t"/>
            <w10:wrap type="none"/>
            <w10:anchorlock/>
          </v:shape>
          <o:OLEObject Type="Embed" ProgID="Equation.3" ShapeID="_x0000_i1026" DrawAspect="Content" ObjectID="_1468075726" r:id="rId56">
            <o:LockedField>false</o:LockedField>
          </o:OLEObject>
        </w:object>
      </w:r>
      <w:r>
        <w:rPr>
          <w:sz w:val="24"/>
        </w:rPr>
        <w:t>=</w:t>
      </w:r>
      <w:r>
        <w:rPr>
          <w:rFonts w:hint="eastAsia"/>
          <w:sz w:val="24"/>
        </w:rPr>
        <w:t>**</w:t>
      </w:r>
      <w:r>
        <w:rPr>
          <w:sz w:val="24"/>
        </w:rPr>
        <w:t>m，B=</w:t>
      </w:r>
      <w:r>
        <w:rPr>
          <w:rFonts w:hint="eastAsia"/>
          <w:sz w:val="24"/>
        </w:rPr>
        <w:t>***</w:t>
      </w:r>
      <w:r>
        <w:rPr>
          <w:sz w:val="24"/>
        </w:rPr>
        <w:t>m，h</w:t>
      </w:r>
      <w:r>
        <w:rPr>
          <w:sz w:val="24"/>
          <w:vertAlign w:val="subscript"/>
        </w:rPr>
        <w:t>2</w:t>
      </w:r>
      <w:r>
        <w:rPr>
          <w:sz w:val="24"/>
        </w:rPr>
        <w:t>=</w:t>
      </w:r>
      <w:r>
        <w:rPr>
          <w:rFonts w:hint="eastAsia"/>
          <w:sz w:val="24"/>
        </w:rPr>
        <w:t>***</w:t>
      </w:r>
      <w:r>
        <w:rPr>
          <w:sz w:val="24"/>
        </w:rPr>
        <w:t>m，沉淀池一般超高h</w:t>
      </w:r>
      <w:r>
        <w:rPr>
          <w:sz w:val="24"/>
          <w:vertAlign w:val="subscript"/>
        </w:rPr>
        <w:t>1</w:t>
      </w:r>
      <w:r>
        <w:rPr>
          <w:sz w:val="24"/>
        </w:rPr>
        <w:t>=</w:t>
      </w:r>
      <w:r>
        <w:rPr>
          <w:rFonts w:hint="eastAsia"/>
          <w:sz w:val="24"/>
        </w:rPr>
        <w:t>***</w:t>
      </w:r>
      <w:r>
        <w:rPr>
          <w:sz w:val="24"/>
        </w:rPr>
        <w:t>m，长宽比不小于</w:t>
      </w:r>
      <w:r>
        <w:rPr>
          <w:rFonts w:hint="eastAsia"/>
          <w:sz w:val="24"/>
        </w:rPr>
        <w:t>*</w:t>
      </w:r>
      <w:r>
        <w:rPr>
          <w:sz w:val="24"/>
        </w:rPr>
        <w:t>:</w:t>
      </w:r>
      <w:r>
        <w:rPr>
          <w:rFonts w:hint="eastAsia"/>
          <w:sz w:val="24"/>
        </w:rPr>
        <w:t>*</w:t>
      </w:r>
      <w:r>
        <w:rPr>
          <w:sz w:val="24"/>
        </w:rPr>
        <w:t>，所以总的沉淀池深H=</w:t>
      </w:r>
      <w:r>
        <w:rPr>
          <w:rFonts w:hint="eastAsia"/>
          <w:sz w:val="24"/>
        </w:rPr>
        <w:t>**</w:t>
      </w:r>
      <w:r>
        <w:rPr>
          <w:sz w:val="24"/>
        </w:rPr>
        <w:t>m。因此设计2个沉淀池，沉淀池的尺寸长×宽×深为</w:t>
      </w:r>
      <w:r>
        <w:rPr>
          <w:rFonts w:hint="eastAsia"/>
          <w:sz w:val="24"/>
        </w:rPr>
        <w:t>*</w:t>
      </w:r>
      <w:r>
        <w:rPr>
          <w:sz w:val="24"/>
        </w:rPr>
        <w:t>m×</w:t>
      </w:r>
      <w:r>
        <w:rPr>
          <w:rFonts w:hint="eastAsia"/>
          <w:sz w:val="24"/>
        </w:rPr>
        <w:t>**</w:t>
      </w:r>
      <w:r>
        <w:rPr>
          <w:sz w:val="24"/>
        </w:rPr>
        <w:t>m×</w:t>
      </w:r>
      <w:r>
        <w:rPr>
          <w:rFonts w:hint="eastAsia"/>
          <w:sz w:val="24"/>
        </w:rPr>
        <w:t>**</w:t>
      </w:r>
      <w:r>
        <w:rPr>
          <w:sz w:val="24"/>
        </w:rPr>
        <w:t>m能满足要求。周围护栏高</w:t>
      </w:r>
      <w:r>
        <w:rPr>
          <w:rFonts w:hint="eastAsia"/>
          <w:sz w:val="24"/>
        </w:rPr>
        <w:t>**</w:t>
      </w:r>
      <w:r>
        <w:rPr>
          <w:sz w:val="24"/>
        </w:rPr>
        <w:t>m。</w:t>
      </w:r>
    </w:p>
    <w:p>
      <w:pPr>
        <w:adjustRightInd w:val="0"/>
        <w:snapToGrid w:val="0"/>
        <w:spacing w:line="360" w:lineRule="auto"/>
        <w:ind w:firstLine="480" w:firstLineChars="200"/>
        <w:rPr>
          <w:sz w:val="24"/>
        </w:rPr>
      </w:pPr>
      <w:r>
        <w:rPr>
          <w:sz w:val="24"/>
        </w:rPr>
        <w:t>A.沉淀池分三格，每格内长、宽均为</w:t>
      </w:r>
      <w:r>
        <w:rPr>
          <w:rFonts w:hint="eastAsia"/>
          <w:sz w:val="24"/>
        </w:rPr>
        <w:t>*</w:t>
      </w:r>
      <w:r>
        <w:rPr>
          <w:sz w:val="24"/>
        </w:rPr>
        <w:t>m×</w:t>
      </w:r>
      <w:r>
        <w:rPr>
          <w:rFonts w:hint="eastAsia"/>
          <w:sz w:val="24"/>
        </w:rPr>
        <w:t>*</w:t>
      </w:r>
      <w:r>
        <w:rPr>
          <w:sz w:val="24"/>
        </w:rPr>
        <w:t>m，高</w:t>
      </w:r>
      <w:r>
        <w:rPr>
          <w:rFonts w:hint="eastAsia"/>
          <w:sz w:val="24"/>
        </w:rPr>
        <w:t>**</w:t>
      </w:r>
      <w:r>
        <w:rPr>
          <w:sz w:val="24"/>
        </w:rPr>
        <w:t>m，埋入地下</w:t>
      </w:r>
      <w:r>
        <w:rPr>
          <w:rFonts w:hint="eastAsia"/>
          <w:sz w:val="24"/>
        </w:rPr>
        <w:t>**</w:t>
      </w:r>
      <w:r>
        <w:rPr>
          <w:sz w:val="24"/>
        </w:rPr>
        <w:t>m，地面超高</w:t>
      </w:r>
      <w:r>
        <w:rPr>
          <w:rFonts w:hint="eastAsia"/>
          <w:sz w:val="24"/>
        </w:rPr>
        <w:t>**</w:t>
      </w:r>
      <w:r>
        <w:rPr>
          <w:sz w:val="24"/>
        </w:rPr>
        <w:t>m。</w:t>
      </w:r>
    </w:p>
    <w:p>
      <w:pPr>
        <w:adjustRightInd w:val="0"/>
        <w:snapToGrid w:val="0"/>
        <w:spacing w:line="360" w:lineRule="auto"/>
        <w:ind w:firstLine="480" w:firstLineChars="200"/>
        <w:rPr>
          <w:sz w:val="24"/>
        </w:rPr>
      </w:pPr>
      <w:r>
        <w:rPr>
          <w:sz w:val="24"/>
        </w:rPr>
        <w:t>B.沉淀池侧壁浆砌块石，水泥砂浆抹面，采用座浆法浆砌，水泥砂浆强度为M10，内外壁和顶面采用防水砂浆抹面。</w:t>
      </w:r>
    </w:p>
    <w:p>
      <w:pPr>
        <w:adjustRightInd w:val="0"/>
        <w:snapToGrid w:val="0"/>
        <w:spacing w:line="360" w:lineRule="auto"/>
        <w:ind w:firstLine="480" w:firstLineChars="200"/>
        <w:rPr>
          <w:sz w:val="24"/>
        </w:rPr>
      </w:pPr>
      <w:r>
        <w:rPr>
          <w:sz w:val="24"/>
        </w:rPr>
        <w:t>C.现浇混凝土底板，厚</w:t>
      </w:r>
      <w:r>
        <w:rPr>
          <w:rFonts w:hint="eastAsia"/>
          <w:sz w:val="24"/>
        </w:rPr>
        <w:t>**</w:t>
      </w:r>
      <w:r>
        <w:rPr>
          <w:sz w:val="24"/>
        </w:rPr>
        <w:t>m。</w:t>
      </w:r>
    </w:p>
    <w:p>
      <w:pPr>
        <w:adjustRightInd w:val="0"/>
        <w:snapToGrid w:val="0"/>
        <w:spacing w:line="360" w:lineRule="auto"/>
        <w:ind w:firstLine="480" w:firstLineChars="200"/>
        <w:rPr>
          <w:sz w:val="24"/>
        </w:rPr>
      </w:pPr>
      <w:r>
        <w:rPr>
          <w:sz w:val="24"/>
        </w:rPr>
        <w:t>D.进水口和出水口尺寸为0.5×0.5m。</w:t>
      </w:r>
    </w:p>
    <w:p>
      <w:pPr>
        <w:adjustRightInd w:val="0"/>
        <w:snapToGrid w:val="0"/>
        <w:spacing w:line="360" w:lineRule="auto"/>
        <w:ind w:firstLine="480" w:firstLineChars="200"/>
        <w:rPr>
          <w:sz w:val="24"/>
        </w:rPr>
      </w:pPr>
      <w:r>
        <w:rPr>
          <w:sz w:val="24"/>
        </w:rPr>
        <w:t>E.在沉淀池四周1m外修建安全防护栏，安装铁质栏杆，高1.2m。</w:t>
      </w:r>
    </w:p>
    <w:p>
      <w:pPr>
        <w:spacing w:line="360" w:lineRule="auto"/>
        <w:ind w:firstLine="480" w:firstLineChars="200"/>
        <w:rPr>
          <w:sz w:val="24"/>
        </w:rPr>
      </w:pPr>
      <w:r>
        <w:rPr>
          <w:sz w:val="24"/>
        </w:rPr>
        <w:t>沉淀池工程量计算见表4-4。</w:t>
      </w:r>
    </w:p>
    <w:p>
      <w:pPr>
        <w:pStyle w:val="2"/>
        <w:rPr>
          <w:sz w:val="24"/>
        </w:rPr>
      </w:pPr>
    </w:p>
    <w:p/>
    <w:p>
      <w:pPr>
        <w:spacing w:line="440" w:lineRule="exact"/>
        <w:jc w:val="center"/>
      </w:pPr>
      <w:r>
        <w:rPr>
          <w:sz w:val="24"/>
        </w:rPr>
        <w:t>表4-4         工业广场沉淀池工程量测算表</w:t>
      </w:r>
    </w:p>
    <w:tbl>
      <w:tblPr>
        <w:tblStyle w:val="34"/>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079"/>
        <w:gridCol w:w="1587"/>
        <w:gridCol w:w="1125"/>
        <w:gridCol w:w="372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Align w:val="center"/>
          </w:tcPr>
          <w:p>
            <w:pPr>
              <w:adjustRightInd w:val="0"/>
              <w:jc w:val="center"/>
              <w:rPr>
                <w:szCs w:val="21"/>
              </w:rPr>
            </w:pPr>
            <w:r>
              <w:rPr>
                <w:szCs w:val="21"/>
              </w:rPr>
              <w:t>工程名称</w:t>
            </w:r>
          </w:p>
        </w:tc>
        <w:tc>
          <w:tcPr>
            <w:tcW w:w="1079" w:type="dxa"/>
            <w:vAlign w:val="center"/>
          </w:tcPr>
          <w:p>
            <w:pPr>
              <w:adjustRightInd w:val="0"/>
              <w:jc w:val="center"/>
              <w:rPr>
                <w:snapToGrid w:val="0"/>
                <w:kern w:val="0"/>
                <w:szCs w:val="21"/>
              </w:rPr>
            </w:pPr>
            <w:r>
              <w:rPr>
                <w:snapToGrid w:val="0"/>
                <w:kern w:val="0"/>
                <w:szCs w:val="21"/>
              </w:rPr>
              <w:t>完成时间</w:t>
            </w:r>
          </w:p>
        </w:tc>
        <w:tc>
          <w:tcPr>
            <w:tcW w:w="1587" w:type="dxa"/>
            <w:vAlign w:val="center"/>
          </w:tcPr>
          <w:p>
            <w:pPr>
              <w:adjustRightInd w:val="0"/>
              <w:jc w:val="center"/>
              <w:rPr>
                <w:snapToGrid w:val="0"/>
                <w:kern w:val="0"/>
                <w:szCs w:val="21"/>
              </w:rPr>
            </w:pPr>
            <w:r>
              <w:rPr>
                <w:snapToGrid w:val="0"/>
                <w:kern w:val="0"/>
                <w:szCs w:val="21"/>
              </w:rPr>
              <w:t>工程内容</w:t>
            </w:r>
          </w:p>
        </w:tc>
        <w:tc>
          <w:tcPr>
            <w:tcW w:w="1125" w:type="dxa"/>
            <w:vAlign w:val="center"/>
          </w:tcPr>
          <w:p>
            <w:pPr>
              <w:adjustRightInd w:val="0"/>
              <w:jc w:val="center"/>
              <w:rPr>
                <w:snapToGrid w:val="0"/>
                <w:kern w:val="0"/>
                <w:szCs w:val="21"/>
              </w:rPr>
            </w:pPr>
            <w:r>
              <w:rPr>
                <w:snapToGrid w:val="0"/>
                <w:kern w:val="0"/>
                <w:szCs w:val="21"/>
              </w:rPr>
              <w:t>单位</w:t>
            </w:r>
          </w:p>
        </w:tc>
        <w:tc>
          <w:tcPr>
            <w:tcW w:w="3722" w:type="dxa"/>
            <w:vAlign w:val="center"/>
          </w:tcPr>
          <w:p>
            <w:pPr>
              <w:adjustRightInd w:val="0"/>
              <w:jc w:val="center"/>
              <w:rPr>
                <w:snapToGrid w:val="0"/>
                <w:kern w:val="0"/>
                <w:szCs w:val="21"/>
              </w:rPr>
            </w:pPr>
            <w:r>
              <w:rPr>
                <w:snapToGrid w:val="0"/>
                <w:kern w:val="0"/>
                <w:szCs w:val="21"/>
              </w:rPr>
              <w:t>工程量计算</w:t>
            </w:r>
          </w:p>
        </w:tc>
        <w:tc>
          <w:tcPr>
            <w:tcW w:w="851" w:type="dxa"/>
            <w:vAlign w:val="center"/>
          </w:tcPr>
          <w:p>
            <w:pPr>
              <w:adjustRightInd w:val="0"/>
              <w:jc w:val="center"/>
              <w:rPr>
                <w:snapToGrid w:val="0"/>
                <w:kern w:val="0"/>
                <w:sz w:val="20"/>
                <w:szCs w:val="21"/>
              </w:rPr>
            </w:pPr>
            <w:r>
              <w:rPr>
                <w:snapToGrid w:val="0"/>
                <w:kern w:val="0"/>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Merge w:val="restart"/>
            <w:vAlign w:val="center"/>
          </w:tcPr>
          <w:p>
            <w:pPr>
              <w:adjustRightInd w:val="0"/>
              <w:jc w:val="center"/>
              <w:rPr>
                <w:szCs w:val="21"/>
              </w:rPr>
            </w:pPr>
            <w:r>
              <w:rPr>
                <w:szCs w:val="21"/>
              </w:rPr>
              <w:t>工业广场沉淀池（1个）</w:t>
            </w:r>
          </w:p>
        </w:tc>
        <w:tc>
          <w:tcPr>
            <w:tcW w:w="1079" w:type="dxa"/>
            <w:vMerge w:val="restart"/>
            <w:vAlign w:val="center"/>
          </w:tcPr>
          <w:p>
            <w:pPr>
              <w:adjustRightInd w:val="0"/>
              <w:jc w:val="center"/>
              <w:rPr>
                <w:szCs w:val="21"/>
              </w:rPr>
            </w:pPr>
            <w:r>
              <w:rPr>
                <w:szCs w:val="21"/>
              </w:rPr>
              <w:t>2023.03-2024.07</w:t>
            </w:r>
          </w:p>
        </w:tc>
        <w:tc>
          <w:tcPr>
            <w:tcW w:w="1587" w:type="dxa"/>
            <w:vAlign w:val="center"/>
          </w:tcPr>
          <w:p>
            <w:pPr>
              <w:adjustRightInd w:val="0"/>
              <w:jc w:val="center"/>
              <w:rPr>
                <w:snapToGrid w:val="0"/>
                <w:kern w:val="0"/>
                <w:szCs w:val="21"/>
              </w:rPr>
            </w:pPr>
            <w:r>
              <w:rPr>
                <w:snapToGrid w:val="0"/>
                <w:kern w:val="0"/>
                <w:szCs w:val="21"/>
              </w:rPr>
              <w:t>挖土方</w:t>
            </w:r>
          </w:p>
        </w:tc>
        <w:tc>
          <w:tcPr>
            <w:tcW w:w="1125" w:type="dxa"/>
            <w:vAlign w:val="center"/>
          </w:tcPr>
          <w:p>
            <w:pPr>
              <w:adjustRightInd w:val="0"/>
              <w:jc w:val="center"/>
              <w:rPr>
                <w:szCs w:val="21"/>
              </w:rPr>
            </w:pPr>
            <w:r>
              <w:rPr>
                <w:snapToGrid w:val="0"/>
                <w:kern w:val="0"/>
                <w:szCs w:val="21"/>
              </w:rPr>
              <w:t>m</w:t>
            </w:r>
            <w:r>
              <w:rPr>
                <w:snapToGrid w:val="0"/>
                <w:kern w:val="0"/>
                <w:szCs w:val="21"/>
                <w:vertAlign w:val="superscript"/>
              </w:rPr>
              <w:t>3</w:t>
            </w:r>
          </w:p>
        </w:tc>
        <w:tc>
          <w:tcPr>
            <w:tcW w:w="3722"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snapToGrid w:val="0"/>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Merge w:val="continue"/>
            <w:vAlign w:val="center"/>
          </w:tcPr>
          <w:p>
            <w:pPr>
              <w:adjustRightInd w:val="0"/>
              <w:jc w:val="center"/>
              <w:rPr>
                <w:szCs w:val="21"/>
              </w:rPr>
            </w:pPr>
          </w:p>
        </w:tc>
        <w:tc>
          <w:tcPr>
            <w:tcW w:w="1079" w:type="dxa"/>
            <w:vMerge w:val="continue"/>
            <w:vAlign w:val="center"/>
          </w:tcPr>
          <w:p>
            <w:pPr>
              <w:adjustRightInd w:val="0"/>
              <w:jc w:val="center"/>
              <w:rPr>
                <w:szCs w:val="21"/>
              </w:rPr>
            </w:pPr>
          </w:p>
        </w:tc>
        <w:tc>
          <w:tcPr>
            <w:tcW w:w="1587" w:type="dxa"/>
            <w:vAlign w:val="center"/>
          </w:tcPr>
          <w:p>
            <w:pPr>
              <w:adjustRightInd w:val="0"/>
              <w:jc w:val="center"/>
              <w:rPr>
                <w:snapToGrid w:val="0"/>
                <w:kern w:val="0"/>
                <w:szCs w:val="21"/>
              </w:rPr>
            </w:pPr>
            <w:r>
              <w:rPr>
                <w:snapToGrid w:val="0"/>
                <w:kern w:val="0"/>
                <w:szCs w:val="21"/>
              </w:rPr>
              <w:t>弃方</w:t>
            </w:r>
          </w:p>
        </w:tc>
        <w:tc>
          <w:tcPr>
            <w:tcW w:w="1125" w:type="dxa"/>
            <w:vAlign w:val="center"/>
          </w:tcPr>
          <w:p>
            <w:pPr>
              <w:adjustRightInd w:val="0"/>
              <w:jc w:val="center"/>
              <w:rPr>
                <w:szCs w:val="21"/>
              </w:rPr>
            </w:pPr>
            <w:r>
              <w:rPr>
                <w:kern w:val="0"/>
                <w:szCs w:val="21"/>
              </w:rPr>
              <w:t>m</w:t>
            </w:r>
            <w:r>
              <w:rPr>
                <w:kern w:val="0"/>
                <w:szCs w:val="21"/>
                <w:vertAlign w:val="superscript"/>
              </w:rPr>
              <w:t>3</w:t>
            </w:r>
          </w:p>
        </w:tc>
        <w:tc>
          <w:tcPr>
            <w:tcW w:w="3722"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kern w:val="0"/>
                <w:sz w:val="20"/>
                <w:szCs w:val="20"/>
              </w:rPr>
              <w:t>******</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Merge w:val="continue"/>
            <w:vAlign w:val="center"/>
          </w:tcPr>
          <w:p>
            <w:pPr>
              <w:autoSpaceDE w:val="0"/>
              <w:autoSpaceDN w:val="0"/>
              <w:adjustRightInd w:val="0"/>
              <w:jc w:val="center"/>
              <w:rPr>
                <w:szCs w:val="21"/>
              </w:rPr>
            </w:pPr>
          </w:p>
        </w:tc>
        <w:tc>
          <w:tcPr>
            <w:tcW w:w="1079" w:type="dxa"/>
            <w:vMerge w:val="continue"/>
            <w:vAlign w:val="center"/>
          </w:tcPr>
          <w:p>
            <w:pPr>
              <w:autoSpaceDE w:val="0"/>
              <w:autoSpaceDN w:val="0"/>
              <w:adjustRightInd w:val="0"/>
              <w:jc w:val="center"/>
              <w:rPr>
                <w:szCs w:val="21"/>
              </w:rPr>
            </w:pPr>
          </w:p>
        </w:tc>
        <w:tc>
          <w:tcPr>
            <w:tcW w:w="1587" w:type="dxa"/>
            <w:vAlign w:val="center"/>
          </w:tcPr>
          <w:p>
            <w:pPr>
              <w:autoSpaceDE w:val="0"/>
              <w:autoSpaceDN w:val="0"/>
              <w:adjustRightInd w:val="0"/>
              <w:jc w:val="center"/>
              <w:rPr>
                <w:kern w:val="0"/>
                <w:szCs w:val="21"/>
              </w:rPr>
            </w:pPr>
            <w:r>
              <w:rPr>
                <w:kern w:val="0"/>
                <w:szCs w:val="21"/>
              </w:rPr>
              <w:t>现浇底板</w:t>
            </w:r>
          </w:p>
        </w:tc>
        <w:tc>
          <w:tcPr>
            <w:tcW w:w="1125" w:type="dxa"/>
            <w:vAlign w:val="center"/>
          </w:tcPr>
          <w:p>
            <w:pPr>
              <w:adjustRightInd w:val="0"/>
              <w:jc w:val="center"/>
              <w:rPr>
                <w:szCs w:val="21"/>
              </w:rPr>
            </w:pPr>
            <w:r>
              <w:rPr>
                <w:kern w:val="0"/>
                <w:szCs w:val="21"/>
              </w:rPr>
              <w:t>m</w:t>
            </w:r>
            <w:r>
              <w:rPr>
                <w:kern w:val="0"/>
                <w:szCs w:val="21"/>
                <w:vertAlign w:val="superscript"/>
              </w:rPr>
              <w:t>3</w:t>
            </w:r>
          </w:p>
        </w:tc>
        <w:tc>
          <w:tcPr>
            <w:tcW w:w="3722"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snapToGrid w:val="0"/>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Merge w:val="continue"/>
            <w:vAlign w:val="center"/>
          </w:tcPr>
          <w:p>
            <w:pPr>
              <w:adjustRightInd w:val="0"/>
              <w:jc w:val="center"/>
              <w:rPr>
                <w:szCs w:val="21"/>
              </w:rPr>
            </w:pPr>
          </w:p>
        </w:tc>
        <w:tc>
          <w:tcPr>
            <w:tcW w:w="1079" w:type="dxa"/>
            <w:vMerge w:val="continue"/>
            <w:vAlign w:val="center"/>
          </w:tcPr>
          <w:p>
            <w:pPr>
              <w:adjustRightInd w:val="0"/>
              <w:jc w:val="center"/>
              <w:rPr>
                <w:szCs w:val="21"/>
              </w:rPr>
            </w:pPr>
          </w:p>
        </w:tc>
        <w:tc>
          <w:tcPr>
            <w:tcW w:w="1587" w:type="dxa"/>
            <w:vAlign w:val="center"/>
          </w:tcPr>
          <w:p>
            <w:pPr>
              <w:adjustRightInd w:val="0"/>
              <w:jc w:val="center"/>
              <w:rPr>
                <w:kern w:val="0"/>
                <w:szCs w:val="21"/>
              </w:rPr>
            </w:pPr>
            <w:r>
              <w:rPr>
                <w:kern w:val="0"/>
                <w:szCs w:val="21"/>
              </w:rPr>
              <w:t>浆砌碎石</w:t>
            </w:r>
          </w:p>
        </w:tc>
        <w:tc>
          <w:tcPr>
            <w:tcW w:w="1125" w:type="dxa"/>
            <w:vAlign w:val="center"/>
          </w:tcPr>
          <w:p>
            <w:pPr>
              <w:adjustRightInd w:val="0"/>
              <w:jc w:val="center"/>
              <w:rPr>
                <w:szCs w:val="21"/>
              </w:rPr>
            </w:pPr>
            <w:r>
              <w:rPr>
                <w:kern w:val="0"/>
                <w:szCs w:val="21"/>
              </w:rPr>
              <w:t>m</w:t>
            </w:r>
            <w:r>
              <w:rPr>
                <w:kern w:val="0"/>
                <w:szCs w:val="21"/>
                <w:vertAlign w:val="superscript"/>
              </w:rPr>
              <w:t>3</w:t>
            </w:r>
          </w:p>
        </w:tc>
        <w:tc>
          <w:tcPr>
            <w:tcW w:w="3722" w:type="dxa"/>
            <w:vAlign w:val="center"/>
          </w:tcPr>
          <w:p>
            <w:pPr>
              <w:widowControl/>
              <w:jc w:val="center"/>
              <w:textAlignment w:val="center"/>
              <w:rPr>
                <w:szCs w:val="21"/>
              </w:rPr>
            </w:pP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kern w:val="0"/>
                <w:sz w:val="20"/>
                <w:szCs w:val="20"/>
              </w:rPr>
              <w:t>*****</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9" w:type="dxa"/>
            <w:vMerge w:val="continue"/>
            <w:vAlign w:val="center"/>
          </w:tcPr>
          <w:p>
            <w:pPr>
              <w:autoSpaceDE w:val="0"/>
              <w:autoSpaceDN w:val="0"/>
              <w:adjustRightInd w:val="0"/>
              <w:jc w:val="center"/>
              <w:rPr>
                <w:szCs w:val="21"/>
              </w:rPr>
            </w:pPr>
          </w:p>
        </w:tc>
        <w:tc>
          <w:tcPr>
            <w:tcW w:w="1079" w:type="dxa"/>
            <w:vMerge w:val="continue"/>
            <w:vAlign w:val="center"/>
          </w:tcPr>
          <w:p>
            <w:pPr>
              <w:autoSpaceDE w:val="0"/>
              <w:autoSpaceDN w:val="0"/>
              <w:adjustRightInd w:val="0"/>
              <w:jc w:val="center"/>
              <w:rPr>
                <w:szCs w:val="21"/>
              </w:rPr>
            </w:pPr>
          </w:p>
        </w:tc>
        <w:tc>
          <w:tcPr>
            <w:tcW w:w="1587" w:type="dxa"/>
            <w:vAlign w:val="center"/>
          </w:tcPr>
          <w:p>
            <w:pPr>
              <w:autoSpaceDE w:val="0"/>
              <w:autoSpaceDN w:val="0"/>
              <w:adjustRightInd w:val="0"/>
              <w:jc w:val="center"/>
              <w:rPr>
                <w:kern w:val="0"/>
                <w:szCs w:val="21"/>
              </w:rPr>
            </w:pPr>
            <w:r>
              <w:rPr>
                <w:kern w:val="0"/>
                <w:szCs w:val="21"/>
              </w:rPr>
              <w:t>砂浆抹面</w:t>
            </w:r>
          </w:p>
          <w:p>
            <w:pPr>
              <w:autoSpaceDE w:val="0"/>
              <w:autoSpaceDN w:val="0"/>
              <w:adjustRightInd w:val="0"/>
              <w:jc w:val="center"/>
              <w:rPr>
                <w:kern w:val="0"/>
                <w:szCs w:val="21"/>
              </w:rPr>
            </w:pPr>
            <w:r>
              <w:rPr>
                <w:snapToGrid w:val="0"/>
                <w:kern w:val="0"/>
                <w:szCs w:val="21"/>
              </w:rPr>
              <w:t>(厚30mm)</w:t>
            </w:r>
          </w:p>
        </w:tc>
        <w:tc>
          <w:tcPr>
            <w:tcW w:w="1125" w:type="dxa"/>
            <w:vAlign w:val="center"/>
          </w:tcPr>
          <w:p>
            <w:pPr>
              <w:adjustRightInd w:val="0"/>
              <w:jc w:val="center"/>
              <w:rPr>
                <w:szCs w:val="21"/>
              </w:rPr>
            </w:pPr>
            <w:r>
              <w:rPr>
                <w:kern w:val="0"/>
                <w:szCs w:val="21"/>
              </w:rPr>
              <w:t>m</w:t>
            </w:r>
            <w:r>
              <w:rPr>
                <w:kern w:val="0"/>
                <w:szCs w:val="21"/>
                <w:vertAlign w:val="superscript"/>
              </w:rPr>
              <w:t>2</w:t>
            </w:r>
          </w:p>
        </w:tc>
        <w:tc>
          <w:tcPr>
            <w:tcW w:w="3722" w:type="dxa"/>
            <w:vAlign w:val="center"/>
          </w:tcPr>
          <w:p>
            <w:pPr>
              <w:widowControl/>
              <w:jc w:val="center"/>
              <w:textAlignment w:val="center"/>
              <w:rPr>
                <w:szCs w:val="21"/>
              </w:rPr>
            </w:pP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kern w:val="0"/>
                <w:sz w:val="20"/>
                <w:szCs w:val="20"/>
              </w:rPr>
              <w:t>******</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29" w:type="dxa"/>
            <w:vMerge w:val="continue"/>
            <w:vAlign w:val="center"/>
          </w:tcPr>
          <w:p>
            <w:pPr>
              <w:autoSpaceDE w:val="0"/>
              <w:autoSpaceDN w:val="0"/>
              <w:adjustRightInd w:val="0"/>
              <w:jc w:val="center"/>
              <w:rPr>
                <w:szCs w:val="21"/>
              </w:rPr>
            </w:pPr>
          </w:p>
        </w:tc>
        <w:tc>
          <w:tcPr>
            <w:tcW w:w="1079" w:type="dxa"/>
            <w:vMerge w:val="continue"/>
            <w:vAlign w:val="center"/>
          </w:tcPr>
          <w:p>
            <w:pPr>
              <w:autoSpaceDE w:val="0"/>
              <w:autoSpaceDN w:val="0"/>
              <w:adjustRightInd w:val="0"/>
              <w:jc w:val="center"/>
              <w:rPr>
                <w:szCs w:val="21"/>
              </w:rPr>
            </w:pPr>
          </w:p>
        </w:tc>
        <w:tc>
          <w:tcPr>
            <w:tcW w:w="1587" w:type="dxa"/>
            <w:vAlign w:val="center"/>
          </w:tcPr>
          <w:p>
            <w:pPr>
              <w:autoSpaceDE w:val="0"/>
              <w:autoSpaceDN w:val="0"/>
              <w:adjustRightInd w:val="0"/>
              <w:jc w:val="center"/>
              <w:rPr>
                <w:kern w:val="0"/>
                <w:szCs w:val="21"/>
              </w:rPr>
            </w:pPr>
            <w:r>
              <w:rPr>
                <w:kern w:val="0"/>
                <w:szCs w:val="21"/>
              </w:rPr>
              <w:t>防护栏</w:t>
            </w:r>
          </w:p>
        </w:tc>
        <w:tc>
          <w:tcPr>
            <w:tcW w:w="1125" w:type="dxa"/>
            <w:vAlign w:val="center"/>
          </w:tcPr>
          <w:p>
            <w:pPr>
              <w:adjustRightInd w:val="0"/>
              <w:jc w:val="center"/>
              <w:rPr>
                <w:szCs w:val="21"/>
              </w:rPr>
            </w:pPr>
            <w:r>
              <w:rPr>
                <w:kern w:val="0"/>
                <w:szCs w:val="21"/>
              </w:rPr>
              <w:t>m</w:t>
            </w:r>
          </w:p>
        </w:tc>
        <w:tc>
          <w:tcPr>
            <w:tcW w:w="3722" w:type="dxa"/>
            <w:vAlign w:val="center"/>
          </w:tcPr>
          <w:p>
            <w:pPr>
              <w:widowControl/>
              <w:jc w:val="center"/>
              <w:textAlignment w:val="center"/>
              <w:rPr>
                <w:szCs w:val="21"/>
              </w:rPr>
            </w:pP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851" w:type="dxa"/>
            <w:vAlign w:val="center"/>
          </w:tcPr>
          <w:p>
            <w:pPr>
              <w:widowControl/>
              <w:jc w:val="center"/>
              <w:textAlignment w:val="center"/>
              <w:rPr>
                <w:snapToGrid w:val="0"/>
                <w:kern w:val="0"/>
                <w:sz w:val="20"/>
                <w:szCs w:val="21"/>
              </w:rPr>
            </w:pPr>
            <w:r>
              <w:rPr>
                <w:rFonts w:hint="eastAsia"/>
                <w:kern w:val="0"/>
                <w:sz w:val="20"/>
                <w:szCs w:val="20"/>
              </w:rPr>
              <w:t>*****</w:t>
            </w:r>
            <w:r>
              <w:rPr>
                <w:kern w:val="0"/>
                <w:sz w:val="20"/>
                <w:szCs w:val="20"/>
              </w:rPr>
              <w:t xml:space="preserve"> </w:t>
            </w:r>
          </w:p>
        </w:tc>
      </w:tr>
    </w:tbl>
    <w:p>
      <w:pPr>
        <w:spacing w:line="470" w:lineRule="exact"/>
        <w:ind w:firstLine="480" w:firstLineChars="200"/>
        <w:rPr>
          <w:sz w:val="24"/>
        </w:rPr>
      </w:pPr>
      <w:r>
        <w:rPr>
          <w:sz w:val="24"/>
        </w:rPr>
        <w:t>具体年度安排如下：</w:t>
      </w:r>
    </w:p>
    <w:p>
      <w:pPr>
        <w:spacing w:line="470" w:lineRule="exact"/>
        <w:ind w:firstLine="480" w:firstLineChars="200"/>
        <w:rPr>
          <w:sz w:val="24"/>
        </w:rPr>
      </w:pPr>
      <w:r>
        <w:rPr>
          <w:sz w:val="24"/>
        </w:rPr>
        <w:t>开采第1年矿山剥离基建期间，工业广场附近修建沉淀池1个。</w:t>
      </w:r>
    </w:p>
    <w:p>
      <w:pPr>
        <w:spacing w:line="470" w:lineRule="exact"/>
        <w:ind w:firstLine="480" w:firstLineChars="200"/>
        <w:rPr>
          <w:sz w:val="24"/>
        </w:rPr>
      </w:pPr>
      <w:r>
        <w:rPr>
          <w:sz w:val="24"/>
        </w:rPr>
        <w:t>（3）采场废水处理与清淤工程及进度安排</w:t>
      </w:r>
    </w:p>
    <w:p>
      <w:pPr>
        <w:spacing w:line="470" w:lineRule="exact"/>
        <w:ind w:firstLine="480" w:firstLineChars="200"/>
        <w:rPr>
          <w:sz w:val="24"/>
        </w:rPr>
      </w:pPr>
      <w:r>
        <w:rPr>
          <w:sz w:val="24"/>
        </w:rPr>
        <w:t>工程设计：露天采场矿坑废水中含泥沙等悬浮物，经沉淀池处理后应达标排放；本方案对沉淀池进行并定期清淤（2次/a），每年清淤</w:t>
      </w:r>
      <w:r>
        <w:rPr>
          <w:rFonts w:hint="eastAsia"/>
          <w:sz w:val="24"/>
        </w:rPr>
        <w:t>****</w:t>
      </w:r>
      <w:r>
        <w:rPr>
          <w:sz w:val="24"/>
        </w:rPr>
        <w:t>m</w:t>
      </w:r>
      <w:r>
        <w:rPr>
          <w:sz w:val="24"/>
          <w:vertAlign w:val="superscript"/>
        </w:rPr>
        <w:t>3</w:t>
      </w:r>
      <w:r>
        <w:rPr>
          <w:sz w:val="24"/>
        </w:rPr>
        <w:t>。</w:t>
      </w:r>
    </w:p>
    <w:p>
      <w:pPr>
        <w:spacing w:line="470" w:lineRule="exact"/>
        <w:ind w:firstLine="480" w:firstLineChars="200"/>
        <w:rPr>
          <w:sz w:val="24"/>
        </w:rPr>
      </w:pPr>
      <w:r>
        <w:rPr>
          <w:sz w:val="24"/>
        </w:rPr>
        <w:t>（4）工程量测算及进度安排：见表4-5。</w:t>
      </w:r>
    </w:p>
    <w:p>
      <w:pPr>
        <w:spacing w:line="470" w:lineRule="exact"/>
        <w:jc w:val="center"/>
        <w:rPr>
          <w:sz w:val="24"/>
        </w:rPr>
      </w:pPr>
      <w:r>
        <w:rPr>
          <w:sz w:val="24"/>
        </w:rPr>
        <w:t>表4-5    废水处理池清淤工程量测算表年度安排</w:t>
      </w:r>
    </w:p>
    <w:tbl>
      <w:tblPr>
        <w:tblStyle w:val="35"/>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1806"/>
        <w:gridCol w:w="884"/>
        <w:gridCol w:w="892"/>
        <w:gridCol w:w="1166"/>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9" w:type="dxa"/>
            <w:vMerge w:val="restart"/>
            <w:vAlign w:val="center"/>
          </w:tcPr>
          <w:p>
            <w:pPr>
              <w:adjustRightInd w:val="0"/>
              <w:snapToGrid w:val="0"/>
              <w:jc w:val="center"/>
              <w:rPr>
                <w:kern w:val="0"/>
                <w:sz w:val="20"/>
                <w:szCs w:val="21"/>
              </w:rPr>
            </w:pPr>
            <w:r>
              <w:rPr>
                <w:kern w:val="0"/>
                <w:sz w:val="20"/>
                <w:szCs w:val="21"/>
              </w:rPr>
              <w:t>治理工程名称</w:t>
            </w:r>
          </w:p>
        </w:tc>
        <w:tc>
          <w:tcPr>
            <w:tcW w:w="1806" w:type="dxa"/>
            <w:vMerge w:val="restart"/>
            <w:vAlign w:val="center"/>
          </w:tcPr>
          <w:p>
            <w:pPr>
              <w:adjustRightInd w:val="0"/>
              <w:snapToGrid w:val="0"/>
              <w:jc w:val="center"/>
              <w:rPr>
                <w:kern w:val="0"/>
                <w:sz w:val="20"/>
                <w:szCs w:val="21"/>
              </w:rPr>
            </w:pPr>
            <w:r>
              <w:rPr>
                <w:kern w:val="0"/>
                <w:sz w:val="20"/>
                <w:szCs w:val="21"/>
              </w:rPr>
              <w:t>完成时间</w:t>
            </w:r>
          </w:p>
        </w:tc>
        <w:tc>
          <w:tcPr>
            <w:tcW w:w="884" w:type="dxa"/>
            <w:vAlign w:val="center"/>
          </w:tcPr>
          <w:p>
            <w:pPr>
              <w:adjustRightInd w:val="0"/>
              <w:snapToGrid w:val="0"/>
              <w:jc w:val="center"/>
              <w:rPr>
                <w:kern w:val="0"/>
                <w:sz w:val="20"/>
                <w:szCs w:val="21"/>
              </w:rPr>
            </w:pPr>
            <w:r>
              <w:rPr>
                <w:kern w:val="0"/>
                <w:sz w:val="20"/>
                <w:szCs w:val="21"/>
              </w:rPr>
              <w:t>年数</w:t>
            </w:r>
          </w:p>
        </w:tc>
        <w:tc>
          <w:tcPr>
            <w:tcW w:w="892" w:type="dxa"/>
            <w:vAlign w:val="center"/>
          </w:tcPr>
          <w:p>
            <w:pPr>
              <w:adjustRightInd w:val="0"/>
              <w:snapToGrid w:val="0"/>
              <w:jc w:val="center"/>
              <w:rPr>
                <w:kern w:val="0"/>
                <w:sz w:val="20"/>
                <w:szCs w:val="21"/>
              </w:rPr>
            </w:pPr>
            <w:r>
              <w:rPr>
                <w:kern w:val="0"/>
                <w:sz w:val="20"/>
                <w:szCs w:val="21"/>
              </w:rPr>
              <w:t>清淤</w:t>
            </w:r>
          </w:p>
        </w:tc>
        <w:tc>
          <w:tcPr>
            <w:tcW w:w="1166" w:type="dxa"/>
            <w:vAlign w:val="center"/>
          </w:tcPr>
          <w:p>
            <w:pPr>
              <w:adjustRightInd w:val="0"/>
              <w:snapToGrid w:val="0"/>
              <w:jc w:val="center"/>
              <w:rPr>
                <w:kern w:val="0"/>
                <w:sz w:val="20"/>
                <w:szCs w:val="21"/>
              </w:rPr>
            </w:pPr>
            <w:r>
              <w:rPr>
                <w:kern w:val="0"/>
                <w:sz w:val="20"/>
                <w:szCs w:val="21"/>
              </w:rPr>
              <w:t>清淤频率</w:t>
            </w:r>
          </w:p>
        </w:tc>
        <w:tc>
          <w:tcPr>
            <w:tcW w:w="1267" w:type="dxa"/>
            <w:vAlign w:val="center"/>
          </w:tcPr>
          <w:p>
            <w:pPr>
              <w:adjustRightInd w:val="0"/>
              <w:snapToGrid w:val="0"/>
              <w:jc w:val="center"/>
              <w:rPr>
                <w:kern w:val="0"/>
                <w:sz w:val="20"/>
                <w:szCs w:val="21"/>
              </w:rPr>
            </w:pPr>
            <w:r>
              <w:rPr>
                <w:kern w:val="0"/>
                <w:sz w:val="20"/>
                <w:szCs w:val="21"/>
              </w:rPr>
              <w:t>清淤工程量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9" w:type="dxa"/>
            <w:vMerge w:val="continue"/>
            <w:vAlign w:val="center"/>
          </w:tcPr>
          <w:p>
            <w:pPr>
              <w:adjustRightInd w:val="0"/>
              <w:snapToGrid w:val="0"/>
              <w:jc w:val="center"/>
              <w:rPr>
                <w:kern w:val="0"/>
                <w:sz w:val="20"/>
                <w:szCs w:val="21"/>
              </w:rPr>
            </w:pPr>
          </w:p>
        </w:tc>
        <w:tc>
          <w:tcPr>
            <w:tcW w:w="1806" w:type="dxa"/>
            <w:vMerge w:val="continue"/>
            <w:vAlign w:val="center"/>
          </w:tcPr>
          <w:p>
            <w:pPr>
              <w:adjustRightInd w:val="0"/>
              <w:snapToGrid w:val="0"/>
              <w:jc w:val="center"/>
              <w:rPr>
                <w:kern w:val="0"/>
                <w:sz w:val="20"/>
                <w:szCs w:val="21"/>
              </w:rPr>
            </w:pPr>
          </w:p>
        </w:tc>
        <w:tc>
          <w:tcPr>
            <w:tcW w:w="884" w:type="dxa"/>
            <w:vAlign w:val="center"/>
          </w:tcPr>
          <w:p>
            <w:pPr>
              <w:adjustRightInd w:val="0"/>
              <w:snapToGrid w:val="0"/>
              <w:jc w:val="center"/>
              <w:rPr>
                <w:kern w:val="0"/>
                <w:sz w:val="20"/>
                <w:szCs w:val="21"/>
              </w:rPr>
            </w:pPr>
            <w:r>
              <w:rPr>
                <w:kern w:val="0"/>
                <w:sz w:val="20"/>
                <w:szCs w:val="21"/>
              </w:rPr>
              <w:t>a</w:t>
            </w:r>
          </w:p>
        </w:tc>
        <w:tc>
          <w:tcPr>
            <w:tcW w:w="892" w:type="dxa"/>
            <w:vAlign w:val="center"/>
          </w:tcPr>
          <w:p>
            <w:pPr>
              <w:adjustRightInd w:val="0"/>
              <w:snapToGrid w:val="0"/>
              <w:jc w:val="center"/>
              <w:rPr>
                <w:kern w:val="0"/>
                <w:sz w:val="20"/>
                <w:szCs w:val="21"/>
              </w:rPr>
            </w:pPr>
            <w:r>
              <w:rPr>
                <w:kern w:val="0"/>
                <w:sz w:val="20"/>
                <w:szCs w:val="21"/>
              </w:rPr>
              <w:t>m</w:t>
            </w:r>
            <w:r>
              <w:rPr>
                <w:kern w:val="0"/>
                <w:sz w:val="20"/>
                <w:szCs w:val="21"/>
                <w:vertAlign w:val="superscript"/>
              </w:rPr>
              <w:t>3</w:t>
            </w:r>
            <w:r>
              <w:rPr>
                <w:kern w:val="0"/>
                <w:sz w:val="20"/>
                <w:szCs w:val="21"/>
              </w:rPr>
              <w:t>/次</w:t>
            </w:r>
          </w:p>
        </w:tc>
        <w:tc>
          <w:tcPr>
            <w:tcW w:w="1166" w:type="dxa"/>
            <w:vAlign w:val="center"/>
          </w:tcPr>
          <w:p>
            <w:pPr>
              <w:adjustRightInd w:val="0"/>
              <w:snapToGrid w:val="0"/>
              <w:jc w:val="center"/>
              <w:rPr>
                <w:kern w:val="0"/>
                <w:sz w:val="20"/>
                <w:szCs w:val="21"/>
              </w:rPr>
            </w:pPr>
            <w:r>
              <w:rPr>
                <w:kern w:val="0"/>
                <w:sz w:val="20"/>
                <w:szCs w:val="21"/>
              </w:rPr>
              <w:t>次/点•a</w:t>
            </w:r>
          </w:p>
        </w:tc>
        <w:tc>
          <w:tcPr>
            <w:tcW w:w="1267" w:type="dxa"/>
            <w:vAlign w:val="center"/>
          </w:tcPr>
          <w:p>
            <w:pPr>
              <w:adjustRightInd w:val="0"/>
              <w:snapToGrid w:val="0"/>
              <w:jc w:val="center"/>
              <w:rPr>
                <w:kern w:val="0"/>
                <w:sz w:val="20"/>
                <w:szCs w:val="21"/>
              </w:rPr>
            </w:pPr>
            <w:r>
              <w:rPr>
                <w:kern w:val="0"/>
                <w:sz w:val="20"/>
                <w:szCs w:val="21"/>
              </w:rPr>
              <w:t>m</w:t>
            </w:r>
            <w:r>
              <w:rPr>
                <w:kern w:val="0"/>
                <w:sz w:val="2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9" w:type="dxa"/>
            <w:vAlign w:val="center"/>
          </w:tcPr>
          <w:p>
            <w:pPr>
              <w:adjustRightInd w:val="0"/>
              <w:snapToGrid w:val="0"/>
              <w:jc w:val="center"/>
              <w:rPr>
                <w:kern w:val="0"/>
                <w:sz w:val="20"/>
                <w:szCs w:val="21"/>
              </w:rPr>
            </w:pPr>
            <w:r>
              <w:rPr>
                <w:kern w:val="0"/>
                <w:sz w:val="20"/>
                <w:szCs w:val="21"/>
              </w:rPr>
              <w:t>开采期间沉淀池清淤</w:t>
            </w:r>
          </w:p>
        </w:tc>
        <w:tc>
          <w:tcPr>
            <w:tcW w:w="1806" w:type="dxa"/>
            <w:vAlign w:val="center"/>
          </w:tcPr>
          <w:p>
            <w:pPr>
              <w:adjustRightInd w:val="0"/>
              <w:snapToGrid w:val="0"/>
              <w:jc w:val="center"/>
              <w:rPr>
                <w:kern w:val="0"/>
                <w:sz w:val="20"/>
                <w:szCs w:val="21"/>
              </w:rPr>
            </w:pPr>
            <w:r>
              <w:rPr>
                <w:kern w:val="0"/>
                <w:sz w:val="20"/>
                <w:szCs w:val="21"/>
              </w:rPr>
              <w:t>2022.08-2033.12</w:t>
            </w:r>
          </w:p>
        </w:tc>
        <w:tc>
          <w:tcPr>
            <w:tcW w:w="884" w:type="dxa"/>
            <w:vAlign w:val="center"/>
          </w:tcPr>
          <w:p>
            <w:pPr>
              <w:adjustRightInd w:val="0"/>
              <w:snapToGrid w:val="0"/>
              <w:jc w:val="center"/>
              <w:rPr>
                <w:kern w:val="0"/>
                <w:sz w:val="20"/>
                <w:szCs w:val="21"/>
              </w:rPr>
            </w:pPr>
            <w:r>
              <w:rPr>
                <w:rFonts w:hint="eastAsia"/>
                <w:kern w:val="0"/>
                <w:sz w:val="20"/>
                <w:szCs w:val="21"/>
              </w:rPr>
              <w:t>***</w:t>
            </w:r>
          </w:p>
        </w:tc>
        <w:tc>
          <w:tcPr>
            <w:tcW w:w="892" w:type="dxa"/>
            <w:vAlign w:val="center"/>
          </w:tcPr>
          <w:p>
            <w:pPr>
              <w:adjustRightInd w:val="0"/>
              <w:snapToGrid w:val="0"/>
              <w:jc w:val="center"/>
              <w:rPr>
                <w:kern w:val="0"/>
                <w:sz w:val="20"/>
                <w:szCs w:val="21"/>
              </w:rPr>
            </w:pPr>
            <w:r>
              <w:rPr>
                <w:rFonts w:hint="eastAsia"/>
                <w:kern w:val="0"/>
                <w:sz w:val="20"/>
                <w:szCs w:val="21"/>
              </w:rPr>
              <w:t>****</w:t>
            </w:r>
          </w:p>
        </w:tc>
        <w:tc>
          <w:tcPr>
            <w:tcW w:w="1166" w:type="dxa"/>
            <w:vAlign w:val="center"/>
          </w:tcPr>
          <w:p>
            <w:pPr>
              <w:adjustRightInd w:val="0"/>
              <w:snapToGrid w:val="0"/>
              <w:jc w:val="center"/>
              <w:rPr>
                <w:kern w:val="0"/>
                <w:sz w:val="20"/>
                <w:szCs w:val="21"/>
              </w:rPr>
            </w:pPr>
            <w:r>
              <w:rPr>
                <w:kern w:val="0"/>
                <w:sz w:val="20"/>
                <w:szCs w:val="21"/>
              </w:rPr>
              <w:t>2</w:t>
            </w:r>
          </w:p>
        </w:tc>
        <w:tc>
          <w:tcPr>
            <w:tcW w:w="1267" w:type="dxa"/>
            <w:vAlign w:val="center"/>
          </w:tcPr>
          <w:p>
            <w:pPr>
              <w:adjustRightInd w:val="0"/>
              <w:snapToGrid w:val="0"/>
              <w:jc w:val="center"/>
              <w:rPr>
                <w:kern w:val="0"/>
                <w:sz w:val="20"/>
                <w:szCs w:val="21"/>
              </w:rPr>
            </w:pPr>
            <w:r>
              <w:rPr>
                <w:rFonts w:hint="eastAsia"/>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49" w:type="dxa"/>
            <w:gridSpan w:val="3"/>
            <w:vAlign w:val="center"/>
          </w:tcPr>
          <w:p>
            <w:pPr>
              <w:adjustRightInd w:val="0"/>
              <w:snapToGrid w:val="0"/>
              <w:jc w:val="center"/>
              <w:rPr>
                <w:kern w:val="0"/>
                <w:sz w:val="20"/>
                <w:szCs w:val="21"/>
              </w:rPr>
            </w:pPr>
            <w:r>
              <w:rPr>
                <w:kern w:val="0"/>
                <w:sz w:val="20"/>
                <w:szCs w:val="21"/>
              </w:rPr>
              <w:t>合计</w:t>
            </w:r>
          </w:p>
        </w:tc>
        <w:tc>
          <w:tcPr>
            <w:tcW w:w="892" w:type="dxa"/>
            <w:vAlign w:val="center"/>
          </w:tcPr>
          <w:p>
            <w:pPr>
              <w:adjustRightInd w:val="0"/>
              <w:snapToGrid w:val="0"/>
              <w:jc w:val="center"/>
              <w:rPr>
                <w:kern w:val="0"/>
                <w:sz w:val="20"/>
                <w:szCs w:val="21"/>
              </w:rPr>
            </w:pPr>
            <w:r>
              <w:rPr>
                <w:kern w:val="0"/>
                <w:sz w:val="20"/>
                <w:szCs w:val="21"/>
              </w:rPr>
              <w:t>—</w:t>
            </w:r>
          </w:p>
        </w:tc>
        <w:tc>
          <w:tcPr>
            <w:tcW w:w="1166" w:type="dxa"/>
            <w:vAlign w:val="center"/>
          </w:tcPr>
          <w:p>
            <w:pPr>
              <w:adjustRightInd w:val="0"/>
              <w:snapToGrid w:val="0"/>
              <w:jc w:val="center"/>
              <w:rPr>
                <w:kern w:val="0"/>
                <w:sz w:val="20"/>
                <w:szCs w:val="21"/>
              </w:rPr>
            </w:pPr>
            <w:r>
              <w:rPr>
                <w:kern w:val="0"/>
                <w:sz w:val="20"/>
                <w:szCs w:val="21"/>
              </w:rPr>
              <w:t>—</w:t>
            </w:r>
          </w:p>
        </w:tc>
        <w:tc>
          <w:tcPr>
            <w:tcW w:w="1267" w:type="dxa"/>
            <w:vAlign w:val="center"/>
          </w:tcPr>
          <w:p>
            <w:pPr>
              <w:adjustRightInd w:val="0"/>
              <w:snapToGrid w:val="0"/>
              <w:jc w:val="center"/>
              <w:rPr>
                <w:kern w:val="0"/>
                <w:sz w:val="20"/>
                <w:szCs w:val="21"/>
              </w:rPr>
            </w:pPr>
            <w:r>
              <w:rPr>
                <w:rFonts w:hint="eastAsia"/>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4" w:type="dxa"/>
            <w:gridSpan w:val="6"/>
            <w:vAlign w:val="center"/>
          </w:tcPr>
          <w:p>
            <w:pPr>
              <w:adjustRightInd w:val="0"/>
              <w:snapToGrid w:val="0"/>
              <w:jc w:val="center"/>
              <w:rPr>
                <w:kern w:val="0"/>
                <w:sz w:val="20"/>
                <w:szCs w:val="21"/>
              </w:rPr>
            </w:pPr>
            <w:r>
              <w:rPr>
                <w:kern w:val="0"/>
                <w:sz w:val="20"/>
                <w:szCs w:val="21"/>
              </w:rPr>
              <w:t>注：沉淀池的清淤方量每次按淤积达到池容积</w:t>
            </w:r>
            <w:r>
              <w:rPr>
                <w:rFonts w:hint="eastAsia"/>
                <w:kern w:val="0"/>
                <w:sz w:val="20"/>
                <w:szCs w:val="21"/>
              </w:rPr>
              <w:t>**</w:t>
            </w:r>
            <w:r>
              <w:rPr>
                <w:kern w:val="0"/>
                <w:sz w:val="20"/>
                <w:szCs w:val="21"/>
              </w:rPr>
              <w:t>%时估算</w:t>
            </w:r>
          </w:p>
        </w:tc>
      </w:tr>
    </w:tbl>
    <w:p>
      <w:pPr>
        <w:spacing w:line="360" w:lineRule="auto"/>
        <w:ind w:firstLine="480" w:firstLineChars="200"/>
        <w:outlineLvl w:val="3"/>
        <w:rPr>
          <w:sz w:val="24"/>
        </w:rPr>
      </w:pPr>
      <w:r>
        <w:rPr>
          <w:sz w:val="24"/>
        </w:rPr>
        <w:t>4、地质灾害安全消除工程</w:t>
      </w:r>
    </w:p>
    <w:p>
      <w:pPr>
        <w:spacing w:line="470" w:lineRule="exact"/>
        <w:ind w:firstLine="480" w:firstLineChars="200"/>
        <w:rPr>
          <w:sz w:val="24"/>
        </w:rPr>
      </w:pPr>
      <w:r>
        <w:rPr>
          <w:sz w:val="24"/>
        </w:rPr>
        <w:t xml:space="preserve">（1）土质边坡治理工程 </w:t>
      </w:r>
    </w:p>
    <w:p>
      <w:pPr>
        <w:spacing w:line="470" w:lineRule="exact"/>
        <w:ind w:firstLine="480" w:firstLineChars="200"/>
        <w:rPr>
          <w:sz w:val="24"/>
        </w:rPr>
      </w:pPr>
      <w:r>
        <w:rPr>
          <w:sz w:val="24"/>
        </w:rPr>
        <w:t>采场东南侧有一处土质边坡，坡度约50°，坡高约</w:t>
      </w:r>
      <w:r>
        <w:rPr>
          <w:rFonts w:hint="eastAsia"/>
          <w:sz w:val="24"/>
        </w:rPr>
        <w:t>*</w:t>
      </w:r>
      <w:r>
        <w:rPr>
          <w:sz w:val="24"/>
        </w:rPr>
        <w:t>m（现标高为</w:t>
      </w:r>
      <w:r>
        <w:rPr>
          <w:rFonts w:hint="eastAsia"/>
          <w:sz w:val="24"/>
        </w:rPr>
        <w:t>**</w:t>
      </w:r>
      <w:r>
        <w:rPr>
          <w:sz w:val="24"/>
        </w:rPr>
        <w:t>米，计划修复到+60米），为地质灾害隐患点。本次设计对其进行削坡，修整为坡度1：2的斜坡。工程开挖土方约</w:t>
      </w:r>
      <w:r>
        <w:rPr>
          <w:rFonts w:hint="eastAsia"/>
          <w:sz w:val="24"/>
        </w:rPr>
        <w:t>***</w:t>
      </w:r>
      <w:r>
        <w:rPr>
          <w:sz w:val="24"/>
        </w:rPr>
        <w:t>m</w:t>
      </w:r>
      <w:r>
        <w:rPr>
          <w:sz w:val="24"/>
          <w:vertAlign w:val="superscript"/>
        </w:rPr>
        <w:t>3</w:t>
      </w:r>
      <w:r>
        <w:rPr>
          <w:sz w:val="24"/>
        </w:rPr>
        <w:t>，回填土方</w:t>
      </w:r>
      <w:r>
        <w:rPr>
          <w:rFonts w:hint="eastAsia"/>
          <w:sz w:val="24"/>
        </w:rPr>
        <w:t>***</w:t>
      </w:r>
      <w:r>
        <w:rPr>
          <w:sz w:val="24"/>
        </w:rPr>
        <w:t>m</w:t>
      </w:r>
      <w:r>
        <w:rPr>
          <w:sz w:val="24"/>
          <w:vertAlign w:val="superscript"/>
        </w:rPr>
        <w:t>3</w:t>
      </w:r>
      <w:r>
        <w:rPr>
          <w:sz w:val="24"/>
        </w:rPr>
        <w:t>，基本可以实现挖填平衡（现已经在进行施工）。在坡面覆土</w:t>
      </w:r>
      <w:r>
        <w:rPr>
          <w:rFonts w:hint="eastAsia"/>
          <w:sz w:val="24"/>
        </w:rPr>
        <w:t>**</w:t>
      </w:r>
      <w:r>
        <w:rPr>
          <w:sz w:val="24"/>
        </w:rPr>
        <w:t>cm，进行草籽复绿，斜坡面积约</w:t>
      </w:r>
      <w:r>
        <w:rPr>
          <w:rFonts w:hint="eastAsia"/>
          <w:sz w:val="24"/>
        </w:rPr>
        <w:t>***</w:t>
      </w:r>
      <w:r>
        <w:rPr>
          <w:sz w:val="24"/>
        </w:rPr>
        <w:t>m</w:t>
      </w:r>
      <w:r>
        <w:rPr>
          <w:sz w:val="24"/>
          <w:vertAlign w:val="superscript"/>
        </w:rPr>
        <w:t>2</w:t>
      </w:r>
      <w:r>
        <w:rPr>
          <w:sz w:val="24"/>
        </w:rPr>
        <w:t>，覆土</w:t>
      </w:r>
      <w:r>
        <w:rPr>
          <w:rFonts w:hint="eastAsia"/>
          <w:sz w:val="24"/>
        </w:rPr>
        <w:t>***</w:t>
      </w:r>
      <w:r>
        <w:rPr>
          <w:sz w:val="24"/>
        </w:rPr>
        <w:t>m³，草籽撒播密度为</w:t>
      </w:r>
      <w:r>
        <w:rPr>
          <w:rFonts w:hint="eastAsia"/>
          <w:sz w:val="24"/>
        </w:rPr>
        <w:t>**</w:t>
      </w:r>
      <w:r>
        <w:rPr>
          <w:sz w:val="24"/>
        </w:rPr>
        <w:t>kg/m</w:t>
      </w:r>
      <w:r>
        <w:rPr>
          <w:sz w:val="24"/>
          <w:vertAlign w:val="superscript"/>
        </w:rPr>
        <w:t>2</w:t>
      </w:r>
      <w:r>
        <w:rPr>
          <w:sz w:val="24"/>
        </w:rPr>
        <w:t>。</w:t>
      </w:r>
    </w:p>
    <w:p>
      <w:pPr>
        <w:spacing w:line="470" w:lineRule="exact"/>
        <w:ind w:firstLine="480" w:firstLineChars="200"/>
        <w:rPr>
          <w:sz w:val="24"/>
        </w:rPr>
      </w:pPr>
      <w:r>
        <w:rPr>
          <w:sz w:val="24"/>
        </w:rPr>
        <w:t>矿山开采至50-60平台后，</w:t>
      </w:r>
      <w:r>
        <w:rPr>
          <w:rFonts w:hint="eastAsia"/>
          <w:sz w:val="24"/>
        </w:rPr>
        <w:t>在60米的高度位置，修建一个小平台，宽度为1米，总长度为***米，总面积为***㎡，堆砌浆砌块石，进行砂浆抹面。往下</w:t>
      </w:r>
      <w:r>
        <w:rPr>
          <w:sz w:val="24"/>
        </w:rPr>
        <w:t>土质边坡应按</w:t>
      </w:r>
      <w:r>
        <w:rPr>
          <w:rFonts w:hint="eastAsia"/>
          <w:sz w:val="24"/>
        </w:rPr>
        <w:t>1：2</w:t>
      </w:r>
      <w:r>
        <w:rPr>
          <w:sz w:val="24"/>
        </w:rPr>
        <w:t>进行</w:t>
      </w:r>
      <w:r>
        <w:rPr>
          <w:rFonts w:hint="eastAsia"/>
          <w:sz w:val="24"/>
        </w:rPr>
        <w:t>削坡至50米，表面堆砌浆块石，进行砂浆抹面。两端和基岩相连接，连接处也需要进行砂浆抹面，避免以后涨水的时候，对土坡进行渗漏。其中此处的削坡长度为***米，按1:2进行从+60米放坡。按照开发方案，最终形成的边坡角为60°，故本次放坡预开挖***m³，回填***m³，可以采用矿山开采的碎石块，不需要从外部购买土。浆砌块石厚**米，斜面长为**米，总面积为****平方米，总体积为***m³；砂浆抹面（2CM）****平方米。</w:t>
      </w:r>
    </w:p>
    <w:p>
      <w:pPr>
        <w:spacing w:line="470" w:lineRule="exact"/>
        <w:jc w:val="left"/>
        <w:rPr>
          <w:sz w:val="24"/>
        </w:rPr>
      </w:pPr>
      <w:r>
        <w:rPr>
          <w:rFonts w:hint="eastAsia"/>
          <w:sz w:val="24"/>
        </w:rPr>
        <w:t>考虑到斜坡面的排水问题，总共布置长****米的PVP排水管。</w:t>
      </w:r>
    </w:p>
    <w:p>
      <w:pPr>
        <w:spacing w:line="470" w:lineRule="exact"/>
        <w:ind w:firstLine="480" w:firstLineChars="200"/>
        <w:rPr>
          <w:sz w:val="24"/>
        </w:rPr>
      </w:pPr>
      <w:r>
        <w:rPr>
          <w:rFonts w:hint="eastAsia"/>
          <w:sz w:val="24"/>
        </w:rPr>
        <w:t>（2）境外截水沟（J1）工程</w:t>
      </w:r>
    </w:p>
    <w:p>
      <w:pPr>
        <w:spacing w:line="470" w:lineRule="exact"/>
        <w:ind w:firstLine="480" w:firstLineChars="200"/>
        <w:rPr>
          <w:sz w:val="24"/>
        </w:rPr>
      </w:pPr>
      <w:r>
        <w:rPr>
          <w:rFonts w:hint="eastAsia"/>
          <w:sz w:val="24"/>
        </w:rPr>
        <w:t>为了防止外部水对边坡进行冲击，设计在外部修建一条截排水沟（J1），长***m，拦截露采场边坡的汇水。根据圈定的采场境界，求得采场上游总最大涌水量（短历时）为0.359m</w:t>
      </w:r>
      <w:r>
        <w:rPr>
          <w:rFonts w:hint="eastAsia"/>
          <w:sz w:val="24"/>
          <w:vertAlign w:val="superscript"/>
        </w:rPr>
        <w:t>3</w:t>
      </w:r>
      <w:r>
        <w:rPr>
          <w:rFonts w:hint="eastAsia"/>
          <w:sz w:val="24"/>
        </w:rPr>
        <w:t>/s。设置的排水沟排水能力不应小于0.36m</w:t>
      </w:r>
      <w:r>
        <w:rPr>
          <w:rFonts w:hint="eastAsia"/>
          <w:sz w:val="24"/>
          <w:vertAlign w:val="superscript"/>
        </w:rPr>
        <w:t>3</w:t>
      </w:r>
      <w:r>
        <w:rPr>
          <w:rFonts w:hint="eastAsia"/>
          <w:sz w:val="24"/>
        </w:rPr>
        <w:t>/s。</w:t>
      </w:r>
    </w:p>
    <w:p>
      <w:pPr>
        <w:adjustRightInd w:val="0"/>
        <w:snapToGrid w:val="0"/>
        <w:spacing w:line="360" w:lineRule="auto"/>
        <w:ind w:firstLine="480" w:firstLineChars="200"/>
        <w:rPr>
          <w:sz w:val="24"/>
        </w:rPr>
      </w:pPr>
      <w:r>
        <w:rPr>
          <w:rFonts w:hint="eastAsia" w:ascii="宋体" w:hAnsi="宋体" w:cs="宋体"/>
          <w:sz w:val="24"/>
        </w:rPr>
        <w:t>①</w:t>
      </w:r>
      <w:r>
        <w:rPr>
          <w:sz w:val="24"/>
        </w:rPr>
        <w:t>防洪标准</w:t>
      </w:r>
    </w:p>
    <w:p>
      <w:pPr>
        <w:adjustRightInd w:val="0"/>
        <w:snapToGrid w:val="0"/>
        <w:spacing w:line="360" w:lineRule="auto"/>
        <w:ind w:firstLine="480" w:firstLineChars="200"/>
        <w:jc w:val="left"/>
        <w:rPr>
          <w:kern w:val="0"/>
          <w:sz w:val="24"/>
          <w:szCs w:val="20"/>
        </w:rPr>
      </w:pPr>
      <w:r>
        <w:rPr>
          <w:kern w:val="0"/>
          <w:sz w:val="24"/>
          <w:szCs w:val="20"/>
        </w:rPr>
        <w:t>根据《防洪标准》（GB50201-2014）第5.0.1款</w:t>
      </w:r>
      <w:r>
        <w:rPr>
          <w:rFonts w:hint="eastAsia"/>
          <w:kern w:val="0"/>
          <w:sz w:val="24"/>
          <w:szCs w:val="20"/>
        </w:rPr>
        <w:t>（表4-6）</w:t>
      </w:r>
      <w:r>
        <w:rPr>
          <w:kern w:val="0"/>
          <w:sz w:val="24"/>
          <w:szCs w:val="20"/>
        </w:rPr>
        <w:t>：</w:t>
      </w:r>
    </w:p>
    <w:p>
      <w:pPr>
        <w:adjustRightInd w:val="0"/>
        <w:snapToGrid w:val="0"/>
        <w:ind w:firstLine="480" w:firstLineChars="200"/>
        <w:jc w:val="center"/>
        <w:rPr>
          <w:kern w:val="0"/>
          <w:sz w:val="24"/>
          <w:szCs w:val="20"/>
        </w:rPr>
      </w:pPr>
      <w:r>
        <w:rPr>
          <w:kern w:val="0"/>
          <w:sz w:val="24"/>
          <w:szCs w:val="20"/>
        </w:rPr>
        <w:t>表4-</w:t>
      </w:r>
      <w:r>
        <w:rPr>
          <w:rFonts w:hint="eastAsia"/>
          <w:kern w:val="0"/>
          <w:sz w:val="24"/>
          <w:szCs w:val="20"/>
        </w:rPr>
        <w:t xml:space="preserve">6 </w:t>
      </w:r>
      <w:r>
        <w:rPr>
          <w:kern w:val="0"/>
          <w:sz w:val="24"/>
          <w:szCs w:val="20"/>
        </w:rPr>
        <w:t xml:space="preserve">   防洪标准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829"/>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adjustRightInd w:val="0"/>
              <w:snapToGrid w:val="0"/>
              <w:jc w:val="center"/>
              <w:rPr>
                <w:kern w:val="0"/>
                <w:szCs w:val="16"/>
              </w:rPr>
            </w:pPr>
            <w:r>
              <w:rPr>
                <w:kern w:val="0"/>
                <w:szCs w:val="16"/>
              </w:rPr>
              <w:t>等级</w:t>
            </w:r>
          </w:p>
        </w:tc>
        <w:tc>
          <w:tcPr>
            <w:tcW w:w="2829" w:type="dxa"/>
            <w:vAlign w:val="center"/>
          </w:tcPr>
          <w:p>
            <w:pPr>
              <w:adjustRightInd w:val="0"/>
              <w:snapToGrid w:val="0"/>
              <w:jc w:val="center"/>
              <w:rPr>
                <w:kern w:val="0"/>
                <w:szCs w:val="16"/>
              </w:rPr>
            </w:pPr>
            <w:r>
              <w:rPr>
                <w:kern w:val="0"/>
                <w:szCs w:val="16"/>
              </w:rPr>
              <w:t>工矿企业规模</w:t>
            </w:r>
          </w:p>
        </w:tc>
        <w:tc>
          <w:tcPr>
            <w:tcW w:w="2863" w:type="dxa"/>
            <w:vAlign w:val="center"/>
          </w:tcPr>
          <w:p>
            <w:pPr>
              <w:adjustRightInd w:val="0"/>
              <w:snapToGrid w:val="0"/>
              <w:jc w:val="center"/>
              <w:rPr>
                <w:kern w:val="0"/>
                <w:szCs w:val="16"/>
              </w:rPr>
            </w:pPr>
            <w:r>
              <w:rPr>
                <w:kern w:val="0"/>
                <w:szCs w:val="16"/>
              </w:rPr>
              <w:t>防洪标准[重现期（年）]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adjustRightInd w:val="0"/>
              <w:snapToGrid w:val="0"/>
              <w:jc w:val="center"/>
              <w:rPr>
                <w:kern w:val="0"/>
                <w:szCs w:val="16"/>
              </w:rPr>
            </w:pPr>
            <w:r>
              <w:rPr>
                <w:kern w:val="0"/>
                <w:szCs w:val="16"/>
              </w:rPr>
              <w:t>I</w:t>
            </w:r>
          </w:p>
        </w:tc>
        <w:tc>
          <w:tcPr>
            <w:tcW w:w="2829" w:type="dxa"/>
            <w:vAlign w:val="center"/>
          </w:tcPr>
          <w:p>
            <w:pPr>
              <w:adjustRightInd w:val="0"/>
              <w:snapToGrid w:val="0"/>
              <w:jc w:val="center"/>
              <w:rPr>
                <w:kern w:val="0"/>
                <w:szCs w:val="16"/>
              </w:rPr>
            </w:pPr>
            <w:r>
              <w:rPr>
                <w:kern w:val="0"/>
                <w:szCs w:val="16"/>
              </w:rPr>
              <w:t>特大型</w:t>
            </w:r>
          </w:p>
        </w:tc>
        <w:tc>
          <w:tcPr>
            <w:tcW w:w="2863" w:type="dxa"/>
            <w:vAlign w:val="center"/>
          </w:tcPr>
          <w:p>
            <w:pPr>
              <w:adjustRightInd w:val="0"/>
              <w:snapToGrid w:val="0"/>
              <w:jc w:val="center"/>
              <w:rPr>
                <w:kern w:val="0"/>
                <w:szCs w:val="16"/>
              </w:rPr>
            </w:pPr>
            <w:r>
              <w:rPr>
                <w:kern w:val="0"/>
                <w:szCs w:val="16"/>
              </w:rPr>
              <w:t>200～100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adjustRightInd w:val="0"/>
              <w:snapToGrid w:val="0"/>
              <w:jc w:val="center"/>
              <w:rPr>
                <w:kern w:val="0"/>
                <w:szCs w:val="16"/>
              </w:rPr>
            </w:pPr>
            <w:r>
              <w:rPr>
                <w:kern w:val="0"/>
                <w:szCs w:val="16"/>
              </w:rPr>
              <w:t>II</w:t>
            </w:r>
          </w:p>
        </w:tc>
        <w:tc>
          <w:tcPr>
            <w:tcW w:w="2829" w:type="dxa"/>
            <w:vAlign w:val="center"/>
          </w:tcPr>
          <w:p>
            <w:pPr>
              <w:adjustRightInd w:val="0"/>
              <w:snapToGrid w:val="0"/>
              <w:jc w:val="center"/>
              <w:rPr>
                <w:kern w:val="0"/>
                <w:szCs w:val="16"/>
              </w:rPr>
            </w:pPr>
            <w:r>
              <w:rPr>
                <w:kern w:val="0"/>
                <w:szCs w:val="16"/>
              </w:rPr>
              <w:t>大型</w:t>
            </w:r>
          </w:p>
        </w:tc>
        <w:tc>
          <w:tcPr>
            <w:tcW w:w="2863" w:type="dxa"/>
            <w:vAlign w:val="center"/>
          </w:tcPr>
          <w:p>
            <w:pPr>
              <w:adjustRightInd w:val="0"/>
              <w:snapToGrid w:val="0"/>
              <w:jc w:val="center"/>
              <w:rPr>
                <w:kern w:val="0"/>
                <w:szCs w:val="16"/>
              </w:rPr>
            </w:pPr>
            <w:r>
              <w:rPr>
                <w:kern w:val="0"/>
                <w:szCs w:val="16"/>
              </w:rPr>
              <w:t>100～50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adjustRightInd w:val="0"/>
              <w:snapToGrid w:val="0"/>
              <w:jc w:val="center"/>
              <w:rPr>
                <w:kern w:val="0"/>
                <w:szCs w:val="16"/>
              </w:rPr>
            </w:pPr>
            <w:r>
              <w:rPr>
                <w:kern w:val="0"/>
                <w:szCs w:val="16"/>
              </w:rPr>
              <w:t>III</w:t>
            </w:r>
          </w:p>
        </w:tc>
        <w:tc>
          <w:tcPr>
            <w:tcW w:w="2829" w:type="dxa"/>
            <w:vAlign w:val="center"/>
          </w:tcPr>
          <w:p>
            <w:pPr>
              <w:adjustRightInd w:val="0"/>
              <w:snapToGrid w:val="0"/>
              <w:jc w:val="center"/>
              <w:rPr>
                <w:kern w:val="0"/>
                <w:szCs w:val="16"/>
              </w:rPr>
            </w:pPr>
            <w:r>
              <w:rPr>
                <w:kern w:val="0"/>
                <w:szCs w:val="16"/>
              </w:rPr>
              <w:t>中型</w:t>
            </w:r>
          </w:p>
        </w:tc>
        <w:tc>
          <w:tcPr>
            <w:tcW w:w="2863" w:type="dxa"/>
            <w:vAlign w:val="center"/>
          </w:tcPr>
          <w:p>
            <w:pPr>
              <w:adjustRightInd w:val="0"/>
              <w:snapToGrid w:val="0"/>
              <w:jc w:val="center"/>
              <w:rPr>
                <w:kern w:val="0"/>
                <w:szCs w:val="16"/>
              </w:rPr>
            </w:pPr>
            <w:r>
              <w:rPr>
                <w:kern w:val="0"/>
                <w:szCs w:val="16"/>
              </w:rPr>
              <w:t>50～20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adjustRightInd w:val="0"/>
              <w:snapToGrid w:val="0"/>
              <w:jc w:val="center"/>
              <w:rPr>
                <w:kern w:val="0"/>
                <w:szCs w:val="16"/>
              </w:rPr>
            </w:pPr>
            <w:r>
              <w:rPr>
                <w:kern w:val="0"/>
                <w:szCs w:val="16"/>
              </w:rPr>
              <w:t>IV</w:t>
            </w:r>
          </w:p>
        </w:tc>
        <w:tc>
          <w:tcPr>
            <w:tcW w:w="2829" w:type="dxa"/>
            <w:vAlign w:val="center"/>
          </w:tcPr>
          <w:p>
            <w:pPr>
              <w:adjustRightInd w:val="0"/>
              <w:snapToGrid w:val="0"/>
              <w:jc w:val="center"/>
              <w:rPr>
                <w:kern w:val="0"/>
                <w:szCs w:val="16"/>
              </w:rPr>
            </w:pPr>
            <w:r>
              <w:rPr>
                <w:kern w:val="0"/>
                <w:szCs w:val="16"/>
              </w:rPr>
              <w:t>小型</w:t>
            </w:r>
          </w:p>
        </w:tc>
        <w:tc>
          <w:tcPr>
            <w:tcW w:w="2863" w:type="dxa"/>
            <w:vAlign w:val="center"/>
          </w:tcPr>
          <w:p>
            <w:pPr>
              <w:adjustRightInd w:val="0"/>
              <w:snapToGrid w:val="0"/>
              <w:jc w:val="center"/>
              <w:rPr>
                <w:kern w:val="0"/>
                <w:szCs w:val="16"/>
              </w:rPr>
            </w:pPr>
            <w:r>
              <w:rPr>
                <w:kern w:val="0"/>
                <w:szCs w:val="16"/>
              </w:rPr>
              <w:t>20～10</w:t>
            </w:r>
          </w:p>
        </w:tc>
      </w:tr>
    </w:tbl>
    <w:p>
      <w:pPr>
        <w:adjustRightInd w:val="0"/>
        <w:snapToGrid w:val="0"/>
        <w:spacing w:line="360" w:lineRule="auto"/>
        <w:ind w:firstLine="480" w:firstLineChars="200"/>
        <w:jc w:val="left"/>
        <w:rPr>
          <w:kern w:val="0"/>
          <w:sz w:val="24"/>
        </w:rPr>
      </w:pPr>
      <w:r>
        <w:rPr>
          <w:kern w:val="0"/>
          <w:sz w:val="24"/>
          <w:szCs w:val="20"/>
        </w:rPr>
        <w:t>本矿为小型矿山，按上表规定的防洪标准：重现期为20～10年，为安全起见，设计取上限，防洪标准为重现期为20年。</w:t>
      </w:r>
    </w:p>
    <w:p>
      <w:pPr>
        <w:snapToGrid w:val="0"/>
        <w:spacing w:line="360" w:lineRule="auto"/>
        <w:ind w:firstLine="480" w:firstLineChars="200"/>
        <w:rPr>
          <w:sz w:val="24"/>
        </w:rPr>
      </w:pPr>
      <w:bookmarkStart w:id="72" w:name="_Hlk107179531"/>
      <w:r>
        <w:rPr>
          <w:rFonts w:hint="eastAsia" w:ascii="宋体" w:hAnsi="宋体" w:cs="宋体"/>
          <w:sz w:val="24"/>
        </w:rPr>
        <w:t>②</w:t>
      </w:r>
      <w:r>
        <w:rPr>
          <w:sz w:val="24"/>
        </w:rPr>
        <w:t>暴雨查算</w:t>
      </w:r>
    </w:p>
    <w:p>
      <w:pPr>
        <w:spacing w:line="500" w:lineRule="exact"/>
        <w:ind w:firstLine="480" w:firstLineChars="200"/>
        <w:rPr>
          <w:sz w:val="24"/>
        </w:rPr>
      </w:pPr>
      <w:r>
        <w:rPr>
          <w:sz w:val="24"/>
        </w:rPr>
        <w:t>根据圈定的采场境界，采场上部汇水面积约</w:t>
      </w:r>
      <w:r>
        <w:rPr>
          <w:rFonts w:hint="eastAsia"/>
          <w:sz w:val="24"/>
        </w:rPr>
        <w:t>****</w:t>
      </w:r>
      <w:r>
        <w:rPr>
          <w:sz w:val="24"/>
        </w:rPr>
        <w:t>km</w:t>
      </w:r>
      <w:r>
        <w:rPr>
          <w:sz w:val="24"/>
          <w:vertAlign w:val="superscript"/>
        </w:rPr>
        <w:t>2</w:t>
      </w:r>
      <w:r>
        <w:rPr>
          <w:sz w:val="24"/>
        </w:rPr>
        <w:t>，流域长度L=</w:t>
      </w:r>
      <w:r>
        <w:rPr>
          <w:rFonts w:hint="eastAsia"/>
          <w:sz w:val="24"/>
        </w:rPr>
        <w:t>***</w:t>
      </w:r>
      <w:r>
        <w:rPr>
          <w:sz w:val="24"/>
        </w:rPr>
        <w:t>km，平均坡降J=0.3。洪峰流量按《开发建设项目水土保持方案技术规范》公式确定：</w:t>
      </w:r>
    </w:p>
    <w:p>
      <w:pPr>
        <w:spacing w:line="500" w:lineRule="exact"/>
        <w:ind w:firstLine="840" w:firstLineChars="400"/>
        <w:rPr>
          <w:sz w:val="24"/>
        </w:rPr>
      </w:pPr>
      <w:r>
        <w:rPr>
          <w:position w:val="-10"/>
        </w:rPr>
        <w:object>
          <v:shape id="_x0000_i1027" o:spt="75" type="#_x0000_t75" style="height:16.5pt;width:102.75pt;" o:ole="t" filled="f" o:preferrelative="t" stroked="f" coordsize="21600,21600">
            <v:path/>
            <v:fill on="f" focussize="0,0"/>
            <v:stroke on="f" joinstyle="miter"/>
            <v:imagedata r:id="rId59" o:title=""/>
            <o:lock v:ext="edit" aspectratio="t"/>
            <w10:wrap type="none"/>
            <w10:anchorlock/>
          </v:shape>
          <o:OLEObject Type="Embed" ProgID="Equation.3" ShapeID="_x0000_i1027" DrawAspect="Content" ObjectID="_1468075727" r:id="rId58">
            <o:LockedField>false</o:LockedField>
          </o:OLEObject>
        </w:object>
      </w:r>
    </w:p>
    <w:p>
      <w:pPr>
        <w:spacing w:line="500" w:lineRule="exact"/>
        <w:ind w:firstLine="480" w:firstLineChars="200"/>
        <w:rPr>
          <w:sz w:val="24"/>
        </w:rPr>
      </w:pPr>
      <w:r>
        <w:rPr>
          <w:sz w:val="24"/>
        </w:rPr>
        <w:t>式中：Q—最大洪水洪峰流量（P=10%），m</w:t>
      </w:r>
      <w:r>
        <w:rPr>
          <w:sz w:val="24"/>
          <w:vertAlign w:val="superscript"/>
        </w:rPr>
        <w:t>3</w:t>
      </w:r>
      <w:r>
        <w:rPr>
          <w:sz w:val="24"/>
        </w:rPr>
        <w:t>/s；</w:t>
      </w:r>
    </w:p>
    <w:p>
      <w:pPr>
        <w:spacing w:line="500" w:lineRule="exact"/>
        <w:ind w:firstLine="1200" w:firstLineChars="500"/>
        <w:rPr>
          <w:sz w:val="24"/>
        </w:rPr>
      </w:pPr>
      <w:r>
        <w:rPr>
          <w:sz w:val="24"/>
        </w:rPr>
        <w:t>k—径流系数，按当地水文地质手册中的有关参数确定，取0.70；</w:t>
      </w:r>
    </w:p>
    <w:p>
      <w:pPr>
        <w:spacing w:line="500" w:lineRule="exact"/>
        <w:ind w:firstLine="1200" w:firstLineChars="500"/>
        <w:rPr>
          <w:sz w:val="24"/>
        </w:rPr>
      </w:pPr>
      <w:r>
        <w:rPr>
          <w:sz w:val="24"/>
        </w:rPr>
        <w:t>i—最大1h降雨强度（P=10%），</w:t>
      </w:r>
      <w:r>
        <w:rPr>
          <w:rFonts w:hint="eastAsia"/>
          <w:sz w:val="24"/>
        </w:rPr>
        <w:t>***</w:t>
      </w:r>
      <w:r>
        <w:rPr>
          <w:sz w:val="24"/>
        </w:rPr>
        <w:t>mm/h；</w:t>
      </w:r>
    </w:p>
    <w:p>
      <w:pPr>
        <w:spacing w:line="500" w:lineRule="exact"/>
        <w:ind w:firstLine="480" w:firstLineChars="200"/>
        <w:rPr>
          <w:sz w:val="24"/>
        </w:rPr>
      </w:pPr>
      <w:r>
        <w:rPr>
          <w:sz w:val="24"/>
        </w:rPr>
        <w:t>F—集水面积，以最大的汇水面积计算约</w:t>
      </w:r>
      <w:r>
        <w:rPr>
          <w:rFonts w:hint="eastAsia"/>
          <w:sz w:val="24"/>
        </w:rPr>
        <w:t>*****</w:t>
      </w:r>
      <w:r>
        <w:rPr>
          <w:sz w:val="24"/>
        </w:rPr>
        <w:t>km2。</w:t>
      </w:r>
    </w:p>
    <w:p>
      <w:pPr>
        <w:spacing w:line="500" w:lineRule="exact"/>
        <w:ind w:firstLine="480" w:firstLineChars="200"/>
        <w:rPr>
          <w:sz w:val="24"/>
        </w:rPr>
      </w:pPr>
      <w:r>
        <w:rPr>
          <w:sz w:val="24"/>
        </w:rPr>
        <w:t>经校核验算，设计推荐的露天开采矿山上游的最大排洪流量Q=0.327m</w:t>
      </w:r>
      <w:r>
        <w:rPr>
          <w:sz w:val="24"/>
          <w:vertAlign w:val="superscript"/>
        </w:rPr>
        <w:t>3</w:t>
      </w:r>
      <w:r>
        <w:rPr>
          <w:sz w:val="24"/>
        </w:rPr>
        <w:t>/s</w:t>
      </w:r>
    </w:p>
    <w:bookmarkEnd w:id="72"/>
    <w:p>
      <w:pPr>
        <w:spacing w:line="500" w:lineRule="exact"/>
        <w:ind w:firstLine="480" w:firstLineChars="200"/>
        <w:jc w:val="center"/>
        <w:rPr>
          <w:sz w:val="24"/>
        </w:rPr>
      </w:pPr>
    </w:p>
    <w:p>
      <w:pPr>
        <w:spacing w:line="500" w:lineRule="exact"/>
        <w:ind w:firstLine="480" w:firstLineChars="200"/>
        <w:jc w:val="center"/>
        <w:rPr>
          <w:sz w:val="24"/>
        </w:rPr>
      </w:pPr>
    </w:p>
    <w:p>
      <w:pPr>
        <w:spacing w:line="500" w:lineRule="exact"/>
        <w:ind w:firstLine="480" w:firstLineChars="200"/>
        <w:rPr>
          <w:sz w:val="24"/>
        </w:rPr>
      </w:pPr>
      <w:r>
        <w:rPr>
          <w:rFonts w:hint="eastAsia"/>
          <w:sz w:val="24"/>
        </w:rPr>
        <w:t>设计境外</w:t>
      </w:r>
      <w:r>
        <w:rPr>
          <w:sz w:val="24"/>
        </w:rPr>
        <w:t>截排水沟</w:t>
      </w:r>
      <w:r>
        <w:rPr>
          <w:rFonts w:hint="eastAsia"/>
          <w:sz w:val="24"/>
        </w:rPr>
        <w:t>规格见图4-5，工程量测算见表4-7。</w:t>
      </w:r>
    </w:p>
    <w:p>
      <w:pPr>
        <w:spacing w:line="500" w:lineRule="exact"/>
        <w:ind w:firstLine="480" w:firstLineChars="200"/>
        <w:jc w:val="center"/>
        <w:rPr>
          <w:sz w:val="24"/>
        </w:rPr>
      </w:pPr>
      <w:r>
        <w:rPr>
          <w:sz w:val="24"/>
        </w:rPr>
        <w:t>表4-</w:t>
      </w:r>
      <w:r>
        <w:rPr>
          <w:rFonts w:hint="eastAsia"/>
          <w:sz w:val="24"/>
        </w:rPr>
        <w:t>7境外</w:t>
      </w:r>
      <w:r>
        <w:rPr>
          <w:sz w:val="24"/>
        </w:rPr>
        <w:t>截排水沟（J1）工程量测算表</w:t>
      </w:r>
    </w:p>
    <w:tbl>
      <w:tblPr>
        <w:tblStyle w:val="34"/>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839"/>
        <w:gridCol w:w="1273"/>
        <w:gridCol w:w="1417"/>
        <w:gridCol w:w="851"/>
        <w:gridCol w:w="317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44" w:type="dxa"/>
            <w:vAlign w:val="center"/>
          </w:tcPr>
          <w:p>
            <w:pPr>
              <w:adjustRightInd w:val="0"/>
              <w:rPr>
                <w:szCs w:val="21"/>
              </w:rPr>
            </w:pPr>
            <w:r>
              <w:rPr>
                <w:szCs w:val="21"/>
              </w:rPr>
              <w:t>工程名称</w:t>
            </w:r>
          </w:p>
        </w:tc>
        <w:tc>
          <w:tcPr>
            <w:tcW w:w="839" w:type="dxa"/>
            <w:vAlign w:val="center"/>
          </w:tcPr>
          <w:p>
            <w:pPr>
              <w:adjustRightInd w:val="0"/>
              <w:jc w:val="center"/>
              <w:rPr>
                <w:snapToGrid w:val="0"/>
                <w:kern w:val="0"/>
                <w:szCs w:val="21"/>
              </w:rPr>
            </w:pPr>
            <w:r>
              <w:rPr>
                <w:snapToGrid w:val="0"/>
                <w:kern w:val="0"/>
                <w:szCs w:val="21"/>
              </w:rPr>
              <w:t>长度</w:t>
            </w:r>
          </w:p>
          <w:p>
            <w:pPr>
              <w:adjustRightInd w:val="0"/>
              <w:jc w:val="center"/>
              <w:rPr>
                <w:snapToGrid w:val="0"/>
                <w:kern w:val="0"/>
                <w:szCs w:val="21"/>
              </w:rPr>
            </w:pPr>
            <w:r>
              <w:rPr>
                <w:snapToGrid w:val="0"/>
                <w:kern w:val="0"/>
                <w:szCs w:val="21"/>
              </w:rPr>
              <w:t>（m）</w:t>
            </w:r>
          </w:p>
        </w:tc>
        <w:tc>
          <w:tcPr>
            <w:tcW w:w="1273" w:type="dxa"/>
            <w:vAlign w:val="center"/>
          </w:tcPr>
          <w:p>
            <w:pPr>
              <w:adjustRightInd w:val="0"/>
              <w:jc w:val="center"/>
              <w:rPr>
                <w:snapToGrid w:val="0"/>
                <w:kern w:val="0"/>
                <w:szCs w:val="21"/>
              </w:rPr>
            </w:pPr>
            <w:r>
              <w:rPr>
                <w:snapToGrid w:val="0"/>
                <w:kern w:val="0"/>
                <w:szCs w:val="21"/>
              </w:rPr>
              <w:t>完成时间</w:t>
            </w:r>
          </w:p>
        </w:tc>
        <w:tc>
          <w:tcPr>
            <w:tcW w:w="1417" w:type="dxa"/>
            <w:vAlign w:val="center"/>
          </w:tcPr>
          <w:p>
            <w:pPr>
              <w:adjustRightInd w:val="0"/>
              <w:jc w:val="center"/>
              <w:rPr>
                <w:snapToGrid w:val="0"/>
                <w:kern w:val="0"/>
                <w:szCs w:val="21"/>
              </w:rPr>
            </w:pPr>
            <w:r>
              <w:rPr>
                <w:snapToGrid w:val="0"/>
                <w:kern w:val="0"/>
                <w:szCs w:val="21"/>
              </w:rPr>
              <w:t>工作内容</w:t>
            </w:r>
          </w:p>
        </w:tc>
        <w:tc>
          <w:tcPr>
            <w:tcW w:w="851" w:type="dxa"/>
            <w:vAlign w:val="center"/>
          </w:tcPr>
          <w:p>
            <w:pPr>
              <w:adjustRightInd w:val="0"/>
              <w:jc w:val="center"/>
              <w:rPr>
                <w:szCs w:val="21"/>
              </w:rPr>
            </w:pPr>
            <w:r>
              <w:rPr>
                <w:szCs w:val="21"/>
              </w:rPr>
              <w:t>单价</w:t>
            </w:r>
          </w:p>
        </w:tc>
        <w:tc>
          <w:tcPr>
            <w:tcW w:w="3175" w:type="dxa"/>
            <w:vAlign w:val="center"/>
          </w:tcPr>
          <w:p>
            <w:pPr>
              <w:adjustRightInd w:val="0"/>
              <w:jc w:val="center"/>
              <w:rPr>
                <w:snapToGrid w:val="0"/>
                <w:kern w:val="0"/>
                <w:szCs w:val="21"/>
              </w:rPr>
            </w:pPr>
            <w:r>
              <w:rPr>
                <w:snapToGrid w:val="0"/>
                <w:kern w:val="0"/>
                <w:szCs w:val="21"/>
              </w:rPr>
              <w:t>工程量计算</w:t>
            </w:r>
          </w:p>
        </w:tc>
        <w:tc>
          <w:tcPr>
            <w:tcW w:w="993" w:type="dxa"/>
            <w:vAlign w:val="center"/>
          </w:tcPr>
          <w:p>
            <w:pPr>
              <w:adjustRightInd w:val="0"/>
              <w:jc w:val="center"/>
              <w:rPr>
                <w:snapToGrid w:val="0"/>
                <w:kern w:val="0"/>
                <w:szCs w:val="21"/>
              </w:rPr>
            </w:pPr>
            <w:r>
              <w:rPr>
                <w:snapToGrid w:val="0"/>
                <w:kern w:val="0"/>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44" w:type="dxa"/>
            <w:vMerge w:val="restart"/>
            <w:vAlign w:val="center"/>
          </w:tcPr>
          <w:p>
            <w:pPr>
              <w:adjustRightInd w:val="0"/>
              <w:rPr>
                <w:szCs w:val="21"/>
              </w:rPr>
            </w:pPr>
            <w:r>
              <w:rPr>
                <w:szCs w:val="21"/>
              </w:rPr>
              <w:t>露采场境外四周截排水沟（J1）</w:t>
            </w:r>
          </w:p>
        </w:tc>
        <w:tc>
          <w:tcPr>
            <w:tcW w:w="839" w:type="dxa"/>
            <w:vMerge w:val="restart"/>
            <w:vAlign w:val="center"/>
          </w:tcPr>
          <w:p>
            <w:pPr>
              <w:adjustRightInd w:val="0"/>
              <w:jc w:val="center"/>
              <w:rPr>
                <w:szCs w:val="21"/>
              </w:rPr>
            </w:pPr>
            <w:r>
              <w:rPr>
                <w:szCs w:val="21"/>
              </w:rPr>
              <w:t>842</w:t>
            </w:r>
          </w:p>
        </w:tc>
        <w:tc>
          <w:tcPr>
            <w:tcW w:w="1273" w:type="dxa"/>
            <w:vMerge w:val="restart"/>
            <w:vAlign w:val="center"/>
          </w:tcPr>
          <w:p>
            <w:pPr>
              <w:adjustRightInd w:val="0"/>
              <w:jc w:val="center"/>
              <w:rPr>
                <w:szCs w:val="21"/>
              </w:rPr>
            </w:pPr>
            <w:r>
              <w:rPr>
                <w:szCs w:val="21"/>
              </w:rPr>
              <w:t>2023.03-2024.2</w:t>
            </w:r>
          </w:p>
        </w:tc>
        <w:tc>
          <w:tcPr>
            <w:tcW w:w="1417" w:type="dxa"/>
            <w:vAlign w:val="center"/>
          </w:tcPr>
          <w:p>
            <w:pPr>
              <w:adjustRightInd w:val="0"/>
              <w:jc w:val="center"/>
              <w:rPr>
                <w:snapToGrid w:val="0"/>
                <w:kern w:val="0"/>
                <w:szCs w:val="21"/>
              </w:rPr>
            </w:pPr>
            <w:r>
              <w:rPr>
                <w:snapToGrid w:val="0"/>
                <w:kern w:val="0"/>
                <w:sz w:val="18"/>
                <w:szCs w:val="18"/>
              </w:rPr>
              <w:t>挖土方</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（梯形）</w:t>
            </w:r>
          </w:p>
        </w:tc>
        <w:tc>
          <w:tcPr>
            <w:tcW w:w="993" w:type="dxa"/>
            <w:vAlign w:val="center"/>
          </w:tcPr>
          <w:p>
            <w:pPr>
              <w:widowControl/>
              <w:jc w:val="center"/>
              <w:textAlignment w:val="center"/>
              <w:rPr>
                <w:szCs w:val="21"/>
              </w:rPr>
            </w:pPr>
            <w:r>
              <w:rPr>
                <w:rFonts w:hint="eastAsia"/>
                <w:kern w:val="0"/>
                <w:sz w:val="20"/>
                <w:szCs w:val="20"/>
              </w:rPr>
              <w:t>*****</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jc w:val="center"/>
              <w:rPr>
                <w:snapToGrid w:val="0"/>
                <w:kern w:val="0"/>
                <w:szCs w:val="21"/>
              </w:rPr>
            </w:pPr>
            <w:r>
              <w:rPr>
                <w:snapToGrid w:val="0"/>
                <w:kern w:val="0"/>
                <w:sz w:val="18"/>
                <w:szCs w:val="18"/>
              </w:rPr>
              <w:t>弃方</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（矩形）</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jc w:val="center"/>
              <w:rPr>
                <w:snapToGrid w:val="0"/>
                <w:kern w:val="0"/>
                <w:szCs w:val="21"/>
              </w:rPr>
            </w:pPr>
            <w:r>
              <w:rPr>
                <w:snapToGrid w:val="0"/>
                <w:kern w:val="0"/>
                <w:sz w:val="18"/>
                <w:szCs w:val="18"/>
              </w:rPr>
              <w:t>浆砌废石沟</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rPr>
                <w:szCs w:val="21"/>
              </w:rPr>
            </w:pPr>
          </w:p>
        </w:tc>
        <w:tc>
          <w:tcPr>
            <w:tcW w:w="1273" w:type="dxa"/>
            <w:vMerge w:val="continue"/>
            <w:vAlign w:val="center"/>
          </w:tcPr>
          <w:p>
            <w:pPr>
              <w:adjustRightInd w:val="0"/>
              <w:rPr>
                <w:szCs w:val="21"/>
              </w:rPr>
            </w:pPr>
          </w:p>
        </w:tc>
        <w:tc>
          <w:tcPr>
            <w:tcW w:w="1417" w:type="dxa"/>
            <w:vAlign w:val="center"/>
          </w:tcPr>
          <w:p>
            <w:pPr>
              <w:adjustRightInd w:val="0"/>
              <w:ind w:firstLine="180" w:firstLineChars="100"/>
              <w:jc w:val="center"/>
              <w:rPr>
                <w:snapToGrid w:val="0"/>
                <w:kern w:val="0"/>
                <w:szCs w:val="21"/>
              </w:rPr>
            </w:pPr>
            <w:r>
              <w:rPr>
                <w:kern w:val="0"/>
                <w:sz w:val="18"/>
                <w:szCs w:val="18"/>
              </w:rPr>
              <w:t>砼底板</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snapToGrid w:val="0"/>
              <w:jc w:val="center"/>
              <w:rPr>
                <w:snapToGrid w:val="0"/>
                <w:kern w:val="0"/>
                <w:sz w:val="18"/>
                <w:szCs w:val="18"/>
              </w:rPr>
            </w:pPr>
            <w:r>
              <w:rPr>
                <w:snapToGrid w:val="0"/>
                <w:kern w:val="0"/>
                <w:sz w:val="18"/>
                <w:szCs w:val="18"/>
              </w:rPr>
              <w:t>砂浆抹面</w:t>
            </w:r>
          </w:p>
          <w:p>
            <w:pPr>
              <w:adjustRightInd w:val="0"/>
              <w:snapToGrid w:val="0"/>
              <w:jc w:val="center"/>
              <w:rPr>
                <w:snapToGrid w:val="0"/>
                <w:kern w:val="0"/>
                <w:szCs w:val="21"/>
              </w:rPr>
            </w:pPr>
            <w:r>
              <w:rPr>
                <w:snapToGrid w:val="0"/>
                <w:kern w:val="0"/>
                <w:sz w:val="18"/>
                <w:szCs w:val="18"/>
              </w:rPr>
              <w:t>(厚0.02m)</w:t>
            </w:r>
          </w:p>
        </w:tc>
        <w:tc>
          <w:tcPr>
            <w:tcW w:w="851" w:type="dxa"/>
            <w:vAlign w:val="center"/>
          </w:tcPr>
          <w:p>
            <w:pPr>
              <w:adjustRightInd w:val="0"/>
              <w:jc w:val="center"/>
              <w:rPr>
                <w:szCs w:val="21"/>
              </w:rPr>
            </w:pPr>
            <w:r>
              <w:rPr>
                <w:szCs w:val="21"/>
              </w:rPr>
              <w:t>m</w:t>
            </w:r>
            <w:r>
              <w:rPr>
                <w:szCs w:val="21"/>
                <w:vertAlign w:val="superscript"/>
              </w:rPr>
              <w:t>2</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jc w:val="center"/>
              <w:rPr>
                <w:snapToGrid w:val="0"/>
                <w:kern w:val="0"/>
                <w:szCs w:val="21"/>
              </w:rPr>
            </w:pPr>
            <w:r>
              <w:rPr>
                <w:snapToGrid w:val="0"/>
                <w:kern w:val="0"/>
                <w:sz w:val="18"/>
                <w:szCs w:val="18"/>
              </w:rPr>
              <w:t>伸缩缝（m</w:t>
            </w:r>
            <w:r>
              <w:rPr>
                <w:snapToGrid w:val="0"/>
                <w:kern w:val="0"/>
                <w:sz w:val="18"/>
                <w:szCs w:val="18"/>
                <w:vertAlign w:val="superscript"/>
              </w:rPr>
              <w:t>2</w:t>
            </w:r>
            <w:r>
              <w:rPr>
                <w:snapToGrid w:val="0"/>
                <w:kern w:val="0"/>
                <w:sz w:val="18"/>
                <w:szCs w:val="18"/>
              </w:rPr>
              <w:t>）</w:t>
            </w:r>
          </w:p>
        </w:tc>
        <w:tc>
          <w:tcPr>
            <w:tcW w:w="851" w:type="dxa"/>
            <w:vAlign w:val="center"/>
          </w:tcPr>
          <w:p>
            <w:pPr>
              <w:adjustRightInd w:val="0"/>
              <w:jc w:val="center"/>
              <w:rPr>
                <w:szCs w:val="21"/>
              </w:rPr>
            </w:pPr>
            <w:r>
              <w:rPr>
                <w:szCs w:val="21"/>
              </w:rPr>
              <w:t>m</w:t>
            </w:r>
            <w:r>
              <w:rPr>
                <w:szCs w:val="21"/>
                <w:vertAlign w:val="superscript"/>
              </w:rPr>
              <w:t>2</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bl>
    <w:p>
      <w:pPr>
        <w:jc w:val="center"/>
      </w:pPr>
    </w:p>
    <w:p>
      <w:pPr>
        <w:jc w:val="center"/>
      </w:pPr>
    </w:p>
    <w:p>
      <w:pPr>
        <w:jc w:val="center"/>
        <w:rPr>
          <w:sz w:val="24"/>
        </w:rPr>
      </w:pPr>
      <w:r>
        <w:drawing>
          <wp:inline distT="0" distB="0" distL="0" distR="0">
            <wp:extent cx="5233670" cy="2649220"/>
            <wp:effectExtent l="9525" t="9525" r="14605" b="273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l="3015" t="5555" r="3357" b="4679"/>
                    <a:stretch>
                      <a:fillRect/>
                    </a:stretch>
                  </pic:blipFill>
                  <pic:spPr>
                    <a:xfrm>
                      <a:off x="0" y="0"/>
                      <a:ext cx="5233670" cy="2649220"/>
                    </a:xfrm>
                    <a:prstGeom prst="rect">
                      <a:avLst/>
                    </a:prstGeom>
                    <a:noFill/>
                    <a:ln>
                      <a:solidFill>
                        <a:schemeClr val="tx1">
                          <a:lumMod val="75000"/>
                          <a:lumOff val="25000"/>
                        </a:schemeClr>
                      </a:solidFill>
                    </a:ln>
                  </pic:spPr>
                </pic:pic>
              </a:graphicData>
            </a:graphic>
          </wp:inline>
        </w:drawing>
      </w:r>
    </w:p>
    <w:p>
      <w:pPr>
        <w:jc w:val="center"/>
        <w:rPr>
          <w:sz w:val="24"/>
        </w:rPr>
      </w:pPr>
      <w:r>
        <w:rPr>
          <w:sz w:val="24"/>
        </w:rPr>
        <w:t>图4-</w:t>
      </w:r>
      <w:r>
        <w:rPr>
          <w:rFonts w:hint="eastAsia"/>
          <w:sz w:val="24"/>
        </w:rPr>
        <w:t>5境外</w:t>
      </w:r>
      <w:r>
        <w:rPr>
          <w:sz w:val="24"/>
        </w:rPr>
        <w:t>排水沟J1设计示意图</w:t>
      </w:r>
    </w:p>
    <w:p>
      <w:pPr>
        <w:spacing w:line="480" w:lineRule="exact"/>
        <w:ind w:firstLine="480" w:firstLineChars="200"/>
        <w:rPr>
          <w:sz w:val="24"/>
        </w:rPr>
      </w:pPr>
      <w:r>
        <w:rPr>
          <w:sz w:val="24"/>
        </w:rPr>
        <w:t>及时清除水沟淤泥，保持水流畅通；排土堆附近修筑好防水沟、防洪坎，防止雨季山洪对矿山造成危害及矿渣流失影响环境。</w:t>
      </w:r>
    </w:p>
    <w:p>
      <w:pPr>
        <w:spacing w:line="480" w:lineRule="exact"/>
        <w:ind w:firstLine="480" w:firstLineChars="200"/>
        <w:rPr>
          <w:sz w:val="24"/>
        </w:rPr>
      </w:pPr>
      <w:r>
        <w:rPr>
          <w:sz w:val="24"/>
        </w:rPr>
        <w:t>（2）泄洪道（底部积水超过60米标高时）</w:t>
      </w:r>
    </w:p>
    <w:p>
      <w:pPr>
        <w:spacing w:line="480" w:lineRule="exact"/>
        <w:ind w:firstLine="480" w:firstLineChars="200"/>
        <w:rPr>
          <w:sz w:val="24"/>
        </w:rPr>
      </w:pPr>
      <w:r>
        <w:rPr>
          <w:sz w:val="24"/>
        </w:rPr>
        <w:t>为了防止在以后矿坑底部的积水超过60米的时候，用此泄洪道</w:t>
      </w:r>
      <w:r>
        <w:rPr>
          <w:rFonts w:hint="eastAsia"/>
          <w:sz w:val="24"/>
        </w:rPr>
        <w:t>为</w:t>
      </w:r>
      <w:r>
        <w:rPr>
          <w:sz w:val="24"/>
        </w:rPr>
        <w:t>后期修复为建设用地的场地进行水循环</w:t>
      </w:r>
      <w:r>
        <w:rPr>
          <w:rFonts w:hint="eastAsia"/>
          <w:sz w:val="24"/>
        </w:rPr>
        <w:t>综合</w:t>
      </w:r>
      <w:r>
        <w:rPr>
          <w:sz w:val="24"/>
        </w:rPr>
        <w:t>利用，</w:t>
      </w:r>
      <w:r>
        <w:rPr>
          <w:rFonts w:hint="eastAsia"/>
          <w:sz w:val="24"/>
        </w:rPr>
        <w:t>超过部分经沉淀后</w:t>
      </w:r>
      <w:r>
        <w:rPr>
          <w:sz w:val="24"/>
        </w:rPr>
        <w:t>排入</w:t>
      </w:r>
      <w:r>
        <w:rPr>
          <w:rFonts w:hint="eastAsia"/>
          <w:sz w:val="24"/>
        </w:rPr>
        <w:t>周边沟渠供灌溉使用</w:t>
      </w:r>
      <w:r>
        <w:rPr>
          <w:sz w:val="24"/>
        </w:rPr>
        <w:t>，</w:t>
      </w:r>
      <w:r>
        <w:rPr>
          <w:rFonts w:hint="eastAsia"/>
          <w:sz w:val="24"/>
        </w:rPr>
        <w:t>可</w:t>
      </w:r>
      <w:r>
        <w:rPr>
          <w:sz w:val="24"/>
        </w:rPr>
        <w:t>防止水位线超过覆土区域。</w:t>
      </w:r>
      <w:r>
        <w:rPr>
          <w:rFonts w:hint="eastAsia"/>
          <w:sz w:val="24"/>
        </w:rPr>
        <w:t>其规格见图4-6，工程量测算见表4-8。</w:t>
      </w:r>
    </w:p>
    <w:p>
      <w:pPr>
        <w:pStyle w:val="2"/>
      </w:pPr>
    </w:p>
    <w:p>
      <w:pPr>
        <w:pStyle w:val="2"/>
      </w:pPr>
    </w:p>
    <w:p>
      <w:pPr>
        <w:ind w:firstLine="960" w:firstLineChars="400"/>
        <w:jc w:val="center"/>
        <w:rPr>
          <w:sz w:val="24"/>
        </w:rPr>
      </w:pPr>
      <w:r>
        <w:rPr>
          <w:sz w:val="24"/>
        </w:rPr>
        <w:t>表4-</w:t>
      </w:r>
      <w:r>
        <w:rPr>
          <w:rFonts w:hint="eastAsia"/>
          <w:sz w:val="24"/>
        </w:rPr>
        <w:t>8</w:t>
      </w:r>
      <w:r>
        <w:rPr>
          <w:sz w:val="24"/>
        </w:rPr>
        <w:t xml:space="preserve">      泄洪道工程量测算表</w:t>
      </w:r>
    </w:p>
    <w:p/>
    <w:tbl>
      <w:tblPr>
        <w:tblStyle w:val="34"/>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839"/>
        <w:gridCol w:w="1273"/>
        <w:gridCol w:w="1417"/>
        <w:gridCol w:w="851"/>
        <w:gridCol w:w="317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1144" w:type="dxa"/>
            <w:vAlign w:val="center"/>
          </w:tcPr>
          <w:p>
            <w:pPr>
              <w:adjustRightInd w:val="0"/>
              <w:rPr>
                <w:szCs w:val="21"/>
              </w:rPr>
            </w:pPr>
            <w:r>
              <w:rPr>
                <w:szCs w:val="21"/>
              </w:rPr>
              <w:t>工程名称</w:t>
            </w:r>
          </w:p>
        </w:tc>
        <w:tc>
          <w:tcPr>
            <w:tcW w:w="839" w:type="dxa"/>
            <w:vAlign w:val="center"/>
          </w:tcPr>
          <w:p>
            <w:pPr>
              <w:adjustRightInd w:val="0"/>
              <w:jc w:val="center"/>
              <w:rPr>
                <w:snapToGrid w:val="0"/>
                <w:kern w:val="0"/>
                <w:szCs w:val="21"/>
              </w:rPr>
            </w:pPr>
            <w:r>
              <w:rPr>
                <w:snapToGrid w:val="0"/>
                <w:kern w:val="0"/>
                <w:szCs w:val="21"/>
              </w:rPr>
              <w:t>长度</w:t>
            </w:r>
          </w:p>
          <w:p>
            <w:pPr>
              <w:adjustRightInd w:val="0"/>
              <w:jc w:val="center"/>
              <w:rPr>
                <w:snapToGrid w:val="0"/>
                <w:kern w:val="0"/>
                <w:szCs w:val="21"/>
              </w:rPr>
            </w:pPr>
            <w:r>
              <w:rPr>
                <w:snapToGrid w:val="0"/>
                <w:kern w:val="0"/>
                <w:szCs w:val="21"/>
              </w:rPr>
              <w:t>（m）</w:t>
            </w:r>
          </w:p>
        </w:tc>
        <w:tc>
          <w:tcPr>
            <w:tcW w:w="1273" w:type="dxa"/>
            <w:vAlign w:val="center"/>
          </w:tcPr>
          <w:p>
            <w:pPr>
              <w:adjustRightInd w:val="0"/>
              <w:jc w:val="center"/>
              <w:rPr>
                <w:snapToGrid w:val="0"/>
                <w:kern w:val="0"/>
                <w:szCs w:val="21"/>
              </w:rPr>
            </w:pPr>
            <w:r>
              <w:rPr>
                <w:snapToGrid w:val="0"/>
                <w:kern w:val="0"/>
                <w:szCs w:val="21"/>
              </w:rPr>
              <w:t>完成时间</w:t>
            </w:r>
          </w:p>
        </w:tc>
        <w:tc>
          <w:tcPr>
            <w:tcW w:w="1417" w:type="dxa"/>
            <w:vAlign w:val="center"/>
          </w:tcPr>
          <w:p>
            <w:pPr>
              <w:adjustRightInd w:val="0"/>
              <w:jc w:val="center"/>
              <w:rPr>
                <w:snapToGrid w:val="0"/>
                <w:kern w:val="0"/>
                <w:szCs w:val="21"/>
              </w:rPr>
            </w:pPr>
            <w:r>
              <w:rPr>
                <w:snapToGrid w:val="0"/>
                <w:kern w:val="0"/>
                <w:szCs w:val="21"/>
              </w:rPr>
              <w:t>工作内容</w:t>
            </w:r>
          </w:p>
        </w:tc>
        <w:tc>
          <w:tcPr>
            <w:tcW w:w="851" w:type="dxa"/>
            <w:vAlign w:val="center"/>
          </w:tcPr>
          <w:p>
            <w:pPr>
              <w:adjustRightInd w:val="0"/>
              <w:jc w:val="center"/>
              <w:rPr>
                <w:szCs w:val="21"/>
              </w:rPr>
            </w:pPr>
            <w:r>
              <w:rPr>
                <w:szCs w:val="21"/>
              </w:rPr>
              <w:t>单价</w:t>
            </w:r>
          </w:p>
        </w:tc>
        <w:tc>
          <w:tcPr>
            <w:tcW w:w="3175" w:type="dxa"/>
            <w:vAlign w:val="center"/>
          </w:tcPr>
          <w:p>
            <w:pPr>
              <w:adjustRightInd w:val="0"/>
              <w:jc w:val="center"/>
              <w:rPr>
                <w:snapToGrid w:val="0"/>
                <w:kern w:val="0"/>
                <w:szCs w:val="21"/>
              </w:rPr>
            </w:pPr>
            <w:r>
              <w:rPr>
                <w:snapToGrid w:val="0"/>
                <w:kern w:val="0"/>
                <w:szCs w:val="21"/>
              </w:rPr>
              <w:t>工程量计算</w:t>
            </w:r>
          </w:p>
        </w:tc>
        <w:tc>
          <w:tcPr>
            <w:tcW w:w="993" w:type="dxa"/>
            <w:vAlign w:val="center"/>
          </w:tcPr>
          <w:p>
            <w:pPr>
              <w:adjustRightInd w:val="0"/>
              <w:jc w:val="center"/>
              <w:rPr>
                <w:snapToGrid w:val="0"/>
                <w:kern w:val="0"/>
                <w:szCs w:val="21"/>
              </w:rPr>
            </w:pPr>
            <w:r>
              <w:rPr>
                <w:snapToGrid w:val="0"/>
                <w:kern w:val="0"/>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44" w:type="dxa"/>
            <w:vMerge w:val="restart"/>
            <w:vAlign w:val="center"/>
          </w:tcPr>
          <w:p>
            <w:pPr>
              <w:adjustRightInd w:val="0"/>
              <w:rPr>
                <w:szCs w:val="21"/>
              </w:rPr>
            </w:pPr>
            <w:r>
              <w:rPr>
                <w:szCs w:val="21"/>
              </w:rPr>
              <w:t>泄洪道</w:t>
            </w:r>
          </w:p>
        </w:tc>
        <w:tc>
          <w:tcPr>
            <w:tcW w:w="839" w:type="dxa"/>
            <w:vMerge w:val="restart"/>
            <w:vAlign w:val="center"/>
          </w:tcPr>
          <w:p>
            <w:pPr>
              <w:adjustRightInd w:val="0"/>
              <w:jc w:val="center"/>
              <w:rPr>
                <w:szCs w:val="21"/>
              </w:rPr>
            </w:pPr>
            <w:r>
              <w:rPr>
                <w:szCs w:val="21"/>
              </w:rPr>
              <w:t>146</w:t>
            </w:r>
          </w:p>
        </w:tc>
        <w:tc>
          <w:tcPr>
            <w:tcW w:w="1273" w:type="dxa"/>
            <w:vMerge w:val="restart"/>
            <w:vAlign w:val="center"/>
          </w:tcPr>
          <w:p>
            <w:pPr>
              <w:adjustRightInd w:val="0"/>
              <w:jc w:val="center"/>
              <w:rPr>
                <w:szCs w:val="21"/>
              </w:rPr>
            </w:pPr>
            <w:r>
              <w:rPr>
                <w:szCs w:val="21"/>
              </w:rPr>
              <w:t>闭坑后</w:t>
            </w:r>
          </w:p>
        </w:tc>
        <w:tc>
          <w:tcPr>
            <w:tcW w:w="1417" w:type="dxa"/>
            <w:vAlign w:val="center"/>
          </w:tcPr>
          <w:p>
            <w:pPr>
              <w:adjustRightInd w:val="0"/>
              <w:jc w:val="center"/>
              <w:rPr>
                <w:snapToGrid w:val="0"/>
                <w:kern w:val="0"/>
                <w:szCs w:val="21"/>
              </w:rPr>
            </w:pPr>
            <w:r>
              <w:rPr>
                <w:snapToGrid w:val="0"/>
                <w:kern w:val="0"/>
                <w:sz w:val="18"/>
                <w:szCs w:val="18"/>
              </w:rPr>
              <w:t>挖方</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*1*</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jc w:val="center"/>
              <w:rPr>
                <w:snapToGrid w:val="0"/>
                <w:kern w:val="0"/>
                <w:szCs w:val="21"/>
              </w:rPr>
            </w:pPr>
            <w:r>
              <w:rPr>
                <w:snapToGrid w:val="0"/>
                <w:kern w:val="0"/>
                <w:sz w:val="18"/>
                <w:szCs w:val="18"/>
              </w:rPr>
              <w:t>盖板（混凝土）</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jc w:val="center"/>
              <w:rPr>
                <w:snapToGrid w:val="0"/>
                <w:kern w:val="0"/>
                <w:szCs w:val="21"/>
              </w:rPr>
            </w:pPr>
            <w:r>
              <w:rPr>
                <w:snapToGrid w:val="0"/>
                <w:kern w:val="0"/>
                <w:sz w:val="18"/>
                <w:szCs w:val="18"/>
              </w:rPr>
              <w:t>浆砌块石</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*1*</w:t>
            </w:r>
            <w:r>
              <w:rPr>
                <w:rFonts w:hint="eastAsia"/>
                <w:kern w:val="0"/>
                <w:sz w:val="20"/>
                <w:szCs w:val="20"/>
              </w:rPr>
              <w:t>**</w:t>
            </w:r>
            <w:r>
              <w:rPr>
                <w:kern w:val="0"/>
                <w:sz w:val="20"/>
                <w:szCs w:val="20"/>
              </w:rPr>
              <w:t>*2*</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rPr>
                <w:szCs w:val="21"/>
              </w:rPr>
            </w:pPr>
          </w:p>
        </w:tc>
        <w:tc>
          <w:tcPr>
            <w:tcW w:w="1273" w:type="dxa"/>
            <w:vMerge w:val="continue"/>
            <w:vAlign w:val="center"/>
          </w:tcPr>
          <w:p>
            <w:pPr>
              <w:adjustRightInd w:val="0"/>
              <w:rPr>
                <w:szCs w:val="21"/>
              </w:rPr>
            </w:pPr>
          </w:p>
        </w:tc>
        <w:tc>
          <w:tcPr>
            <w:tcW w:w="1417" w:type="dxa"/>
            <w:vAlign w:val="center"/>
          </w:tcPr>
          <w:p>
            <w:pPr>
              <w:adjustRightInd w:val="0"/>
              <w:ind w:firstLine="180" w:firstLineChars="100"/>
              <w:jc w:val="center"/>
              <w:rPr>
                <w:snapToGrid w:val="0"/>
                <w:kern w:val="0"/>
                <w:szCs w:val="21"/>
              </w:rPr>
            </w:pPr>
            <w:r>
              <w:rPr>
                <w:kern w:val="0"/>
                <w:sz w:val="18"/>
                <w:szCs w:val="18"/>
              </w:rPr>
              <w:t>现浇底板</w:t>
            </w:r>
          </w:p>
        </w:tc>
        <w:tc>
          <w:tcPr>
            <w:tcW w:w="851" w:type="dxa"/>
            <w:vAlign w:val="center"/>
          </w:tcPr>
          <w:p>
            <w:pPr>
              <w:adjustRightInd w:val="0"/>
              <w:jc w:val="center"/>
              <w:rPr>
                <w:szCs w:val="21"/>
              </w:rPr>
            </w:pPr>
            <w:r>
              <w:rPr>
                <w:szCs w:val="21"/>
              </w:rPr>
              <w:t>m</w:t>
            </w:r>
            <w:r>
              <w:rPr>
                <w:szCs w:val="21"/>
                <w:vertAlign w:val="superscript"/>
              </w:rPr>
              <w:t>3</w:t>
            </w:r>
          </w:p>
        </w:tc>
        <w:tc>
          <w:tcPr>
            <w:tcW w:w="3175" w:type="dxa"/>
            <w:vAlign w:val="center"/>
          </w:tcPr>
          <w:p>
            <w:pPr>
              <w:widowControl/>
              <w:jc w:val="center"/>
              <w:textAlignment w:val="center"/>
              <w:rPr>
                <w:szCs w:val="21"/>
              </w:rPr>
            </w:pPr>
            <w:r>
              <w:rPr>
                <w:rFonts w:hint="eastAsia"/>
                <w:kern w:val="0"/>
                <w:sz w:val="20"/>
                <w:szCs w:val="20"/>
              </w:rPr>
              <w:t>**</w:t>
            </w:r>
            <w:r>
              <w:rPr>
                <w:kern w:val="0"/>
                <w:sz w:val="20"/>
                <w:szCs w:val="20"/>
              </w:rPr>
              <w:t>*</w:t>
            </w:r>
            <w:r>
              <w:rPr>
                <w:rFonts w:hint="eastAsia"/>
                <w:kern w:val="0"/>
                <w:sz w:val="20"/>
                <w:szCs w:val="20"/>
              </w:rPr>
              <w:t>**</w:t>
            </w:r>
            <w:r>
              <w:rPr>
                <w:kern w:val="0"/>
                <w:sz w:val="20"/>
                <w:szCs w:val="20"/>
              </w:rPr>
              <w:t>*1*</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44" w:type="dxa"/>
            <w:vMerge w:val="continue"/>
            <w:vAlign w:val="center"/>
          </w:tcPr>
          <w:p>
            <w:pPr>
              <w:adjustRightInd w:val="0"/>
              <w:rPr>
                <w:szCs w:val="21"/>
              </w:rPr>
            </w:pPr>
          </w:p>
        </w:tc>
        <w:tc>
          <w:tcPr>
            <w:tcW w:w="839" w:type="dxa"/>
            <w:vMerge w:val="continue"/>
            <w:vAlign w:val="center"/>
          </w:tcPr>
          <w:p>
            <w:pPr>
              <w:adjustRightInd w:val="0"/>
              <w:jc w:val="center"/>
              <w:rPr>
                <w:szCs w:val="21"/>
              </w:rPr>
            </w:pPr>
          </w:p>
        </w:tc>
        <w:tc>
          <w:tcPr>
            <w:tcW w:w="1273" w:type="dxa"/>
            <w:vMerge w:val="continue"/>
            <w:vAlign w:val="center"/>
          </w:tcPr>
          <w:p>
            <w:pPr>
              <w:adjustRightInd w:val="0"/>
              <w:jc w:val="center"/>
              <w:rPr>
                <w:szCs w:val="21"/>
              </w:rPr>
            </w:pPr>
          </w:p>
        </w:tc>
        <w:tc>
          <w:tcPr>
            <w:tcW w:w="1417" w:type="dxa"/>
            <w:vAlign w:val="center"/>
          </w:tcPr>
          <w:p>
            <w:pPr>
              <w:adjustRightInd w:val="0"/>
              <w:snapToGrid w:val="0"/>
              <w:jc w:val="center"/>
              <w:rPr>
                <w:snapToGrid w:val="0"/>
                <w:kern w:val="0"/>
                <w:szCs w:val="21"/>
              </w:rPr>
            </w:pPr>
            <w:r>
              <w:rPr>
                <w:snapToGrid w:val="0"/>
                <w:kern w:val="0"/>
                <w:sz w:val="18"/>
                <w:szCs w:val="18"/>
              </w:rPr>
              <w:t>砂浆抹面</w:t>
            </w:r>
          </w:p>
        </w:tc>
        <w:tc>
          <w:tcPr>
            <w:tcW w:w="851" w:type="dxa"/>
            <w:vAlign w:val="center"/>
          </w:tcPr>
          <w:p>
            <w:pPr>
              <w:adjustRightInd w:val="0"/>
              <w:jc w:val="center"/>
              <w:rPr>
                <w:szCs w:val="21"/>
              </w:rPr>
            </w:pPr>
            <w:r>
              <w:rPr>
                <w:szCs w:val="21"/>
              </w:rPr>
              <w:t>m</w:t>
            </w:r>
            <w:r>
              <w:rPr>
                <w:szCs w:val="21"/>
                <w:vertAlign w:val="superscript"/>
              </w:rPr>
              <w:t>2</w:t>
            </w:r>
          </w:p>
        </w:tc>
        <w:tc>
          <w:tcPr>
            <w:tcW w:w="3175" w:type="dxa"/>
            <w:vAlign w:val="center"/>
          </w:tcPr>
          <w:p>
            <w:pPr>
              <w:widowControl/>
              <w:jc w:val="center"/>
              <w:textAlignment w:val="center"/>
              <w:rPr>
                <w:szCs w:val="21"/>
              </w:rPr>
            </w:pPr>
            <w:r>
              <w:rPr>
                <w:kern w:val="0"/>
                <w:sz w:val="20"/>
                <w:szCs w:val="20"/>
              </w:rPr>
              <w:t>1*</w:t>
            </w:r>
            <w:r>
              <w:rPr>
                <w:rFonts w:hint="eastAsia"/>
                <w:kern w:val="0"/>
                <w:sz w:val="20"/>
                <w:szCs w:val="20"/>
              </w:rPr>
              <w:t>**</w:t>
            </w:r>
            <w:r>
              <w:rPr>
                <w:kern w:val="0"/>
                <w:sz w:val="20"/>
                <w:szCs w:val="20"/>
              </w:rPr>
              <w:t>*2*</w:t>
            </w:r>
            <w:r>
              <w:rPr>
                <w:rFonts w:hint="eastAsia"/>
                <w:kern w:val="0"/>
                <w:sz w:val="20"/>
                <w:szCs w:val="20"/>
              </w:rPr>
              <w:t>***</w:t>
            </w:r>
          </w:p>
        </w:tc>
        <w:tc>
          <w:tcPr>
            <w:tcW w:w="993" w:type="dxa"/>
            <w:vAlign w:val="center"/>
          </w:tcPr>
          <w:p>
            <w:pPr>
              <w:widowControl/>
              <w:jc w:val="center"/>
              <w:textAlignment w:val="center"/>
              <w:rPr>
                <w:szCs w:val="21"/>
              </w:rPr>
            </w:pPr>
            <w:r>
              <w:rPr>
                <w:rFonts w:hint="eastAsia"/>
                <w:kern w:val="0"/>
                <w:sz w:val="20"/>
                <w:szCs w:val="20"/>
              </w:rPr>
              <w:t>*****</w:t>
            </w:r>
          </w:p>
        </w:tc>
      </w:tr>
    </w:tbl>
    <w:p>
      <w:pPr>
        <w:spacing w:line="480" w:lineRule="exact"/>
        <w:rPr>
          <w:sz w:val="24"/>
        </w:rPr>
      </w:pPr>
    </w:p>
    <w:p>
      <w:pPr>
        <w:ind w:firstLine="480" w:firstLineChars="200"/>
        <w:rPr>
          <w:sz w:val="24"/>
        </w:rPr>
      </w:pPr>
      <w:r>
        <w:rPr>
          <w:sz w:val="24"/>
        </w:rPr>
        <w:drawing>
          <wp:inline distT="0" distB="0" distL="114300" distR="114300">
            <wp:extent cx="5967095" cy="4217035"/>
            <wp:effectExtent l="0" t="0" r="14605" b="12065"/>
            <wp:docPr id="28" name="图片 28" descr="Drawing(3.13改)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rawing(3.13改) Model (1)_00"/>
                    <pic:cNvPicPr>
                      <a:picLocks noChangeAspect="1"/>
                    </pic:cNvPicPr>
                  </pic:nvPicPr>
                  <pic:blipFill>
                    <a:blip r:embed="rId61"/>
                    <a:stretch>
                      <a:fillRect/>
                    </a:stretch>
                  </pic:blipFill>
                  <pic:spPr>
                    <a:xfrm>
                      <a:off x="0" y="0"/>
                      <a:ext cx="5967095" cy="4217035"/>
                    </a:xfrm>
                    <a:prstGeom prst="rect">
                      <a:avLst/>
                    </a:prstGeom>
                  </pic:spPr>
                </pic:pic>
              </a:graphicData>
            </a:graphic>
          </wp:inline>
        </w:drawing>
      </w:r>
    </w:p>
    <w:p>
      <w:pPr>
        <w:jc w:val="center"/>
        <w:rPr>
          <w:sz w:val="24"/>
        </w:rPr>
      </w:pPr>
      <w:r>
        <w:rPr>
          <w:sz w:val="24"/>
        </w:rPr>
        <w:t>图4-</w:t>
      </w:r>
      <w:r>
        <w:rPr>
          <w:rFonts w:hint="eastAsia"/>
          <w:sz w:val="24"/>
        </w:rPr>
        <w:t>6泄洪道</w:t>
      </w:r>
      <w:r>
        <w:rPr>
          <w:sz w:val="24"/>
        </w:rPr>
        <w:t>设计示意图</w:t>
      </w:r>
    </w:p>
    <w:p>
      <w:pPr>
        <w:spacing w:line="480" w:lineRule="exact"/>
        <w:ind w:firstLine="480" w:firstLineChars="200"/>
        <w:rPr>
          <w:sz w:val="24"/>
        </w:rPr>
      </w:pPr>
    </w:p>
    <w:p>
      <w:pPr>
        <w:spacing w:line="480" w:lineRule="exact"/>
        <w:ind w:firstLine="480" w:firstLineChars="200"/>
        <w:rPr>
          <w:sz w:val="24"/>
        </w:rPr>
      </w:pPr>
      <w:r>
        <w:rPr>
          <w:sz w:val="24"/>
        </w:rPr>
        <w:t>（3）露采场外围栏及警示牌</w:t>
      </w:r>
    </w:p>
    <w:p>
      <w:pPr>
        <w:spacing w:line="480" w:lineRule="exact"/>
        <w:ind w:firstLine="480" w:firstLineChars="200"/>
        <w:rPr>
          <w:sz w:val="24"/>
        </w:rPr>
      </w:pPr>
      <w:r>
        <w:rPr>
          <w:rFonts w:hint="eastAsia" w:ascii="宋体" w:hAnsi="宋体" w:cs="宋体"/>
          <w:sz w:val="24"/>
        </w:rPr>
        <w:t>①</w:t>
      </w:r>
      <w:r>
        <w:rPr>
          <w:sz w:val="24"/>
        </w:rPr>
        <w:t>围栏工程</w:t>
      </w:r>
    </w:p>
    <w:p>
      <w:pPr>
        <w:spacing w:line="470" w:lineRule="exact"/>
        <w:ind w:firstLine="480" w:firstLineChars="200"/>
        <w:rPr>
          <w:sz w:val="24"/>
        </w:rPr>
      </w:pPr>
      <w:r>
        <w:rPr>
          <w:sz w:val="24"/>
        </w:rPr>
        <w:t>为了防止无关人员及牲畜等误入露采场发生危险，在露采场顶部边界设置牢固的围栏</w:t>
      </w:r>
      <w:r>
        <w:rPr>
          <w:rFonts w:hint="eastAsia"/>
          <w:sz w:val="24"/>
        </w:rPr>
        <w:t>（图4-7）</w:t>
      </w:r>
      <w:r>
        <w:rPr>
          <w:sz w:val="24"/>
        </w:rPr>
        <w:t>。围栏采用高速公路栏网，高度</w:t>
      </w:r>
      <w:r>
        <w:rPr>
          <w:rFonts w:hint="eastAsia"/>
          <w:sz w:val="24"/>
        </w:rPr>
        <w:t>***</w:t>
      </w:r>
      <w:r>
        <w:rPr>
          <w:sz w:val="24"/>
        </w:rPr>
        <w:t>m，用钢管打入地下固定，每3m设置1个固定桩。围栏总长</w:t>
      </w:r>
      <w:r>
        <w:rPr>
          <w:rFonts w:hint="eastAsia"/>
          <w:sz w:val="24"/>
        </w:rPr>
        <w:t>****</w:t>
      </w:r>
      <w:r>
        <w:rPr>
          <w:sz w:val="24"/>
        </w:rPr>
        <w:t>m。时间安排在开采第1年，即2023年3月—2024年2月。</w:t>
      </w:r>
    </w:p>
    <w:p>
      <w:pPr>
        <w:snapToGrid w:val="0"/>
        <w:spacing w:line="360" w:lineRule="auto"/>
        <w:rPr>
          <w:sz w:val="24"/>
        </w:rPr>
      </w:pPr>
      <w:r>
        <w:rPr>
          <w:sz w:val="24"/>
        </w:rPr>
        <w:drawing>
          <wp:inline distT="0" distB="0" distL="0" distR="0">
            <wp:extent cx="5706745" cy="3962400"/>
            <wp:effectExtent l="0" t="0" r="8255" b="0"/>
            <wp:docPr id="292" name="图片 29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33"/>
                    <pic:cNvPicPr>
                      <a:picLocks noChangeAspect="1" noChangeArrowheads="1"/>
                    </pic:cNvPicPr>
                  </pic:nvPicPr>
                  <pic:blipFill>
                    <a:blip r:embed="rId62">
                      <a:lum bright="4000" contrast="4000"/>
                      <a:extLst>
                        <a:ext uri="{28A0092B-C50C-407E-A947-70E740481C1C}">
                          <a14:useLocalDpi xmlns:a14="http://schemas.microsoft.com/office/drawing/2010/main" val="0"/>
                        </a:ext>
                      </a:extLst>
                    </a:blip>
                    <a:srcRect l="18785" t="6216" b="-845"/>
                    <a:stretch>
                      <a:fillRect/>
                    </a:stretch>
                  </pic:blipFill>
                  <pic:spPr>
                    <a:xfrm>
                      <a:off x="0" y="0"/>
                      <a:ext cx="5726493" cy="3976046"/>
                    </a:xfrm>
                    <a:prstGeom prst="rect">
                      <a:avLst/>
                    </a:prstGeom>
                    <a:noFill/>
                    <a:ln>
                      <a:noFill/>
                    </a:ln>
                    <a:effectLst/>
                  </pic:spPr>
                </pic:pic>
              </a:graphicData>
            </a:graphic>
          </wp:inline>
        </w:drawing>
      </w:r>
    </w:p>
    <w:p>
      <w:pPr>
        <w:snapToGrid w:val="0"/>
        <w:spacing w:line="360" w:lineRule="auto"/>
        <w:jc w:val="center"/>
        <w:rPr>
          <w:sz w:val="24"/>
        </w:rPr>
      </w:pPr>
      <w:r>
        <w:rPr>
          <w:sz w:val="24"/>
        </w:rPr>
        <w:t>图4-</w:t>
      </w:r>
      <w:r>
        <w:rPr>
          <w:rFonts w:hint="eastAsia"/>
          <w:sz w:val="24"/>
        </w:rPr>
        <w:t>7</w:t>
      </w:r>
      <w:r>
        <w:rPr>
          <w:sz w:val="24"/>
        </w:rPr>
        <w:t xml:space="preserve">   拟设安全防护围栏效果图</w:t>
      </w:r>
    </w:p>
    <w:p>
      <w:pPr>
        <w:spacing w:line="480" w:lineRule="exact"/>
        <w:ind w:firstLine="480" w:firstLineChars="200"/>
        <w:rPr>
          <w:sz w:val="24"/>
        </w:rPr>
      </w:pPr>
      <w:r>
        <w:rPr>
          <w:rFonts w:hint="eastAsia" w:ascii="宋体" w:hAnsi="宋体" w:cs="宋体"/>
          <w:sz w:val="24"/>
        </w:rPr>
        <w:t>②</w:t>
      </w:r>
      <w:r>
        <w:rPr>
          <w:sz w:val="24"/>
        </w:rPr>
        <w:t>警示牌</w:t>
      </w:r>
    </w:p>
    <w:p>
      <w:pPr>
        <w:spacing w:line="470" w:lineRule="exact"/>
        <w:ind w:firstLine="480" w:firstLineChars="200"/>
        <w:rPr>
          <w:sz w:val="24"/>
        </w:rPr>
      </w:pPr>
      <w:r>
        <w:rPr>
          <w:sz w:val="24"/>
        </w:rPr>
        <w:t>矿山开采边坡较高，在边坡较高处设置醒目的警示牌，防止无关人员误入发生危险。同时在矿区生产区，从矿区办公室、采场警戒入口、采场入口、上矿道路等地段设置说明牌或警示牌。</w:t>
      </w:r>
    </w:p>
    <w:p>
      <w:pPr>
        <w:spacing w:line="470" w:lineRule="exact"/>
        <w:ind w:firstLine="480" w:firstLineChars="200"/>
        <w:rPr>
          <w:sz w:val="24"/>
        </w:rPr>
      </w:pPr>
      <w:r>
        <w:rPr>
          <w:sz w:val="24"/>
        </w:rPr>
        <w:t>参照《非金属行业绿色矿山建设规范》（试行）和《矿山安全标志》（GB14161-2008）中规定，本矿山所有生产地点涉及到的生态保护修复标识标牌见下表。警示牌间距</w:t>
      </w:r>
      <w:r>
        <w:rPr>
          <w:rFonts w:hint="eastAsia"/>
          <w:sz w:val="24"/>
        </w:rPr>
        <w:t>***</w:t>
      </w:r>
      <w:r>
        <w:rPr>
          <w:sz w:val="24"/>
        </w:rPr>
        <w:t>m。采场1个沉淀池较大，需设警示牌1个。因此，预计需制作矿区标识标牌15块</w:t>
      </w:r>
      <w:r>
        <w:rPr>
          <w:rFonts w:hint="eastAsia"/>
          <w:sz w:val="24"/>
        </w:rPr>
        <w:t>（表4-9）</w:t>
      </w:r>
      <w:r>
        <w:rPr>
          <w:sz w:val="24"/>
        </w:rPr>
        <w:t>。按当地市场价，费用</w:t>
      </w:r>
      <w:r>
        <w:rPr>
          <w:rFonts w:hint="eastAsia"/>
          <w:sz w:val="24"/>
        </w:rPr>
        <w:t>***</w:t>
      </w:r>
      <w:r>
        <w:rPr>
          <w:sz w:val="24"/>
        </w:rPr>
        <w:t>万元，其中含材料费</w:t>
      </w:r>
      <w:r>
        <w:rPr>
          <w:rFonts w:hint="eastAsia"/>
          <w:sz w:val="24"/>
        </w:rPr>
        <w:t>***</w:t>
      </w:r>
      <w:r>
        <w:rPr>
          <w:sz w:val="24"/>
        </w:rPr>
        <w:t>万元（</w:t>
      </w:r>
      <w:r>
        <w:rPr>
          <w:rFonts w:hint="eastAsia"/>
          <w:sz w:val="24"/>
        </w:rPr>
        <w:t>***</w:t>
      </w:r>
      <w:r>
        <w:rPr>
          <w:sz w:val="24"/>
        </w:rPr>
        <w:t>元/个）、人工费</w:t>
      </w:r>
      <w:r>
        <w:rPr>
          <w:rFonts w:hint="eastAsia"/>
          <w:sz w:val="24"/>
        </w:rPr>
        <w:t>***</w:t>
      </w:r>
      <w:r>
        <w:rPr>
          <w:sz w:val="24"/>
        </w:rPr>
        <w:t>万元。时间安排在开采第1年剥离基建期，完成+</w:t>
      </w:r>
      <w:r>
        <w:rPr>
          <w:rFonts w:hint="eastAsia"/>
          <w:sz w:val="24"/>
        </w:rPr>
        <w:t>***</w:t>
      </w:r>
      <w:r>
        <w:rPr>
          <w:sz w:val="24"/>
        </w:rPr>
        <w:t>m平台时，即2023年1月—2023年12月。</w:t>
      </w:r>
    </w:p>
    <w:p>
      <w:pPr>
        <w:spacing w:line="470" w:lineRule="exact"/>
        <w:ind w:firstLine="480" w:firstLineChars="200"/>
        <w:jc w:val="center"/>
        <w:rPr>
          <w:sz w:val="24"/>
        </w:rPr>
      </w:pPr>
      <w:r>
        <w:rPr>
          <w:sz w:val="24"/>
        </w:rPr>
        <w:t>表4-</w:t>
      </w:r>
      <w:r>
        <w:rPr>
          <w:rFonts w:hint="eastAsia"/>
          <w:sz w:val="24"/>
        </w:rPr>
        <w:t>9</w:t>
      </w:r>
      <w:r>
        <w:rPr>
          <w:sz w:val="24"/>
        </w:rPr>
        <w:t xml:space="preserve">     警示牌说明牌工作量估算表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574"/>
        <w:gridCol w:w="1010"/>
        <w:gridCol w:w="1092"/>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Align w:val="center"/>
          </w:tcPr>
          <w:p>
            <w:pPr>
              <w:snapToGrid w:val="0"/>
              <w:jc w:val="center"/>
              <w:rPr>
                <w:szCs w:val="21"/>
              </w:rPr>
            </w:pPr>
            <w:r>
              <w:rPr>
                <w:szCs w:val="21"/>
              </w:rPr>
              <w:t>分项工程</w:t>
            </w:r>
          </w:p>
        </w:tc>
        <w:tc>
          <w:tcPr>
            <w:tcW w:w="2574" w:type="dxa"/>
            <w:vAlign w:val="center"/>
          </w:tcPr>
          <w:p>
            <w:pPr>
              <w:snapToGrid w:val="0"/>
              <w:jc w:val="center"/>
              <w:rPr>
                <w:szCs w:val="21"/>
              </w:rPr>
            </w:pPr>
            <w:r>
              <w:rPr>
                <w:szCs w:val="21"/>
              </w:rPr>
              <w:t>技术手段</w:t>
            </w:r>
          </w:p>
        </w:tc>
        <w:tc>
          <w:tcPr>
            <w:tcW w:w="1010" w:type="dxa"/>
            <w:vAlign w:val="center"/>
          </w:tcPr>
          <w:p>
            <w:pPr>
              <w:snapToGrid w:val="0"/>
              <w:jc w:val="center"/>
              <w:rPr>
                <w:szCs w:val="21"/>
              </w:rPr>
            </w:pPr>
            <w:r>
              <w:rPr>
                <w:szCs w:val="21"/>
              </w:rPr>
              <w:t>单位</w:t>
            </w:r>
          </w:p>
        </w:tc>
        <w:tc>
          <w:tcPr>
            <w:tcW w:w="1092" w:type="dxa"/>
            <w:vAlign w:val="center"/>
          </w:tcPr>
          <w:p>
            <w:pPr>
              <w:snapToGrid w:val="0"/>
              <w:jc w:val="center"/>
              <w:rPr>
                <w:szCs w:val="21"/>
              </w:rPr>
            </w:pPr>
            <w:r>
              <w:rPr>
                <w:szCs w:val="21"/>
              </w:rPr>
              <w:t>工程量</w:t>
            </w:r>
          </w:p>
        </w:tc>
        <w:tc>
          <w:tcPr>
            <w:tcW w:w="2376" w:type="dxa"/>
            <w:vAlign w:val="center"/>
          </w:tcPr>
          <w:p>
            <w:pPr>
              <w:snapToGrid w:val="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Merge w:val="restart"/>
            <w:vAlign w:val="center"/>
          </w:tcPr>
          <w:p>
            <w:pPr>
              <w:snapToGrid w:val="0"/>
              <w:rPr>
                <w:szCs w:val="21"/>
              </w:rPr>
            </w:pPr>
            <w:r>
              <w:rPr>
                <w:szCs w:val="21"/>
              </w:rPr>
              <w:t>警示牌、说明牌</w:t>
            </w:r>
          </w:p>
        </w:tc>
        <w:tc>
          <w:tcPr>
            <w:tcW w:w="2574" w:type="dxa"/>
            <w:vAlign w:val="center"/>
          </w:tcPr>
          <w:p>
            <w:pPr>
              <w:snapToGrid w:val="0"/>
              <w:rPr>
                <w:szCs w:val="21"/>
              </w:rPr>
            </w:pPr>
            <w:r>
              <w:rPr>
                <w:szCs w:val="21"/>
              </w:rPr>
              <w:t>禁止驶入、减速</w:t>
            </w:r>
          </w:p>
        </w:tc>
        <w:tc>
          <w:tcPr>
            <w:tcW w:w="1010" w:type="dxa"/>
            <w:vAlign w:val="center"/>
          </w:tcPr>
          <w:p>
            <w:pPr>
              <w:snapToGrid w:val="0"/>
              <w:jc w:val="center"/>
              <w:rPr>
                <w:szCs w:val="21"/>
              </w:rPr>
            </w:pPr>
            <w:r>
              <w:rPr>
                <w:szCs w:val="21"/>
              </w:rPr>
              <w:t>块</w:t>
            </w:r>
          </w:p>
        </w:tc>
        <w:tc>
          <w:tcPr>
            <w:tcW w:w="1092" w:type="dxa"/>
            <w:vAlign w:val="center"/>
          </w:tcPr>
          <w:p>
            <w:pPr>
              <w:snapToGrid w:val="0"/>
              <w:jc w:val="center"/>
              <w:rPr>
                <w:szCs w:val="21"/>
              </w:rPr>
            </w:pPr>
            <w:r>
              <w:rPr>
                <w:szCs w:val="21"/>
              </w:rPr>
              <w:t>2</w:t>
            </w:r>
          </w:p>
        </w:tc>
        <w:tc>
          <w:tcPr>
            <w:tcW w:w="2376" w:type="dxa"/>
            <w:vAlign w:val="center"/>
          </w:tcPr>
          <w:p>
            <w:pPr>
              <w:snapToGrid w:val="0"/>
              <w:rPr>
                <w:szCs w:val="21"/>
              </w:rPr>
            </w:pPr>
            <w:r>
              <w:rPr>
                <w:szCs w:val="21"/>
              </w:rPr>
              <w:t>采场警戒入口、公路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Merge w:val="continue"/>
            <w:vAlign w:val="center"/>
          </w:tcPr>
          <w:p>
            <w:pPr>
              <w:snapToGrid w:val="0"/>
              <w:rPr>
                <w:szCs w:val="21"/>
              </w:rPr>
            </w:pPr>
          </w:p>
        </w:tc>
        <w:tc>
          <w:tcPr>
            <w:tcW w:w="2574" w:type="dxa"/>
            <w:vAlign w:val="center"/>
          </w:tcPr>
          <w:p>
            <w:pPr>
              <w:snapToGrid w:val="0"/>
              <w:rPr>
                <w:szCs w:val="21"/>
              </w:rPr>
            </w:pPr>
            <w:r>
              <w:rPr>
                <w:szCs w:val="21"/>
              </w:rPr>
              <w:t>采区闲人免进</w:t>
            </w:r>
          </w:p>
        </w:tc>
        <w:tc>
          <w:tcPr>
            <w:tcW w:w="1010" w:type="dxa"/>
            <w:vAlign w:val="center"/>
          </w:tcPr>
          <w:p>
            <w:pPr>
              <w:snapToGrid w:val="0"/>
              <w:jc w:val="center"/>
              <w:rPr>
                <w:szCs w:val="21"/>
              </w:rPr>
            </w:pPr>
            <w:r>
              <w:rPr>
                <w:szCs w:val="21"/>
              </w:rPr>
              <w:t>块</w:t>
            </w:r>
          </w:p>
        </w:tc>
        <w:tc>
          <w:tcPr>
            <w:tcW w:w="1092" w:type="dxa"/>
            <w:vAlign w:val="center"/>
          </w:tcPr>
          <w:p>
            <w:pPr>
              <w:snapToGrid w:val="0"/>
              <w:jc w:val="center"/>
              <w:rPr>
                <w:szCs w:val="21"/>
              </w:rPr>
            </w:pPr>
            <w:r>
              <w:rPr>
                <w:szCs w:val="21"/>
              </w:rPr>
              <w:t>3</w:t>
            </w:r>
          </w:p>
        </w:tc>
        <w:tc>
          <w:tcPr>
            <w:tcW w:w="2376" w:type="dxa"/>
            <w:vAlign w:val="center"/>
          </w:tcPr>
          <w:p>
            <w:pPr>
              <w:snapToGrid w:val="0"/>
              <w:rPr>
                <w:szCs w:val="21"/>
              </w:rPr>
            </w:pPr>
            <w:r>
              <w:rPr>
                <w:szCs w:val="21"/>
              </w:rPr>
              <w:t>采场入口、加工区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Merge w:val="continue"/>
            <w:vAlign w:val="center"/>
          </w:tcPr>
          <w:p>
            <w:pPr>
              <w:snapToGrid w:val="0"/>
              <w:rPr>
                <w:szCs w:val="21"/>
              </w:rPr>
            </w:pPr>
          </w:p>
        </w:tc>
        <w:tc>
          <w:tcPr>
            <w:tcW w:w="2574" w:type="dxa"/>
            <w:vAlign w:val="center"/>
          </w:tcPr>
          <w:p>
            <w:pPr>
              <w:snapToGrid w:val="0"/>
              <w:rPr>
                <w:szCs w:val="21"/>
              </w:rPr>
            </w:pPr>
            <w:r>
              <w:rPr>
                <w:szCs w:val="21"/>
              </w:rPr>
              <w:t>高陡边坡禁止靠近</w:t>
            </w:r>
          </w:p>
        </w:tc>
        <w:tc>
          <w:tcPr>
            <w:tcW w:w="1010" w:type="dxa"/>
            <w:vAlign w:val="center"/>
          </w:tcPr>
          <w:p>
            <w:pPr>
              <w:snapToGrid w:val="0"/>
              <w:jc w:val="center"/>
              <w:rPr>
                <w:szCs w:val="21"/>
              </w:rPr>
            </w:pPr>
            <w:r>
              <w:rPr>
                <w:szCs w:val="21"/>
              </w:rPr>
              <w:t>块</w:t>
            </w:r>
          </w:p>
        </w:tc>
        <w:tc>
          <w:tcPr>
            <w:tcW w:w="1092" w:type="dxa"/>
            <w:vAlign w:val="center"/>
          </w:tcPr>
          <w:p>
            <w:pPr>
              <w:snapToGrid w:val="0"/>
              <w:jc w:val="center"/>
              <w:rPr>
                <w:szCs w:val="21"/>
              </w:rPr>
            </w:pPr>
            <w:r>
              <w:rPr>
                <w:szCs w:val="21"/>
              </w:rPr>
              <w:t>3</w:t>
            </w:r>
          </w:p>
        </w:tc>
        <w:tc>
          <w:tcPr>
            <w:tcW w:w="2376" w:type="dxa"/>
            <w:vAlign w:val="center"/>
          </w:tcPr>
          <w:p>
            <w:pPr>
              <w:snapToGrid w:val="0"/>
              <w:rPr>
                <w:szCs w:val="21"/>
              </w:rPr>
            </w:pPr>
            <w:r>
              <w:rPr>
                <w:szCs w:val="21"/>
              </w:rPr>
              <w:t>采区周边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Merge w:val="continue"/>
            <w:vAlign w:val="center"/>
          </w:tcPr>
          <w:p>
            <w:pPr>
              <w:snapToGrid w:val="0"/>
              <w:rPr>
                <w:szCs w:val="21"/>
              </w:rPr>
            </w:pPr>
          </w:p>
        </w:tc>
        <w:tc>
          <w:tcPr>
            <w:tcW w:w="2574" w:type="dxa"/>
            <w:vAlign w:val="center"/>
          </w:tcPr>
          <w:p>
            <w:pPr>
              <w:snapToGrid w:val="0"/>
              <w:rPr>
                <w:szCs w:val="21"/>
              </w:rPr>
            </w:pPr>
            <w:r>
              <w:rPr>
                <w:szCs w:val="21"/>
              </w:rPr>
              <w:t>禁止入内</w:t>
            </w:r>
          </w:p>
        </w:tc>
        <w:tc>
          <w:tcPr>
            <w:tcW w:w="1010" w:type="dxa"/>
            <w:vAlign w:val="center"/>
          </w:tcPr>
          <w:p>
            <w:pPr>
              <w:snapToGrid w:val="0"/>
              <w:jc w:val="center"/>
              <w:rPr>
                <w:szCs w:val="21"/>
              </w:rPr>
            </w:pPr>
            <w:r>
              <w:rPr>
                <w:szCs w:val="21"/>
              </w:rPr>
              <w:t>块</w:t>
            </w:r>
          </w:p>
        </w:tc>
        <w:tc>
          <w:tcPr>
            <w:tcW w:w="1092" w:type="dxa"/>
            <w:vAlign w:val="center"/>
          </w:tcPr>
          <w:p>
            <w:pPr>
              <w:snapToGrid w:val="0"/>
              <w:jc w:val="center"/>
              <w:rPr>
                <w:szCs w:val="21"/>
              </w:rPr>
            </w:pPr>
            <w:r>
              <w:rPr>
                <w:szCs w:val="21"/>
              </w:rPr>
              <w:t>3</w:t>
            </w:r>
          </w:p>
        </w:tc>
        <w:tc>
          <w:tcPr>
            <w:tcW w:w="2376" w:type="dxa"/>
            <w:vAlign w:val="center"/>
          </w:tcPr>
          <w:p>
            <w:pPr>
              <w:snapToGrid w:val="0"/>
              <w:rPr>
                <w:szCs w:val="21"/>
              </w:rPr>
            </w:pPr>
            <w:r>
              <w:rPr>
                <w:szCs w:val="21"/>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7" w:type="dxa"/>
            <w:vMerge w:val="continue"/>
            <w:vAlign w:val="center"/>
          </w:tcPr>
          <w:p>
            <w:pPr>
              <w:snapToGrid w:val="0"/>
              <w:rPr>
                <w:szCs w:val="21"/>
              </w:rPr>
            </w:pPr>
          </w:p>
        </w:tc>
        <w:tc>
          <w:tcPr>
            <w:tcW w:w="2574" w:type="dxa"/>
            <w:vAlign w:val="center"/>
          </w:tcPr>
          <w:p>
            <w:pPr>
              <w:snapToGrid w:val="0"/>
              <w:rPr>
                <w:szCs w:val="21"/>
              </w:rPr>
            </w:pPr>
            <w:r>
              <w:rPr>
                <w:szCs w:val="21"/>
              </w:rPr>
              <w:t>采场围栏处</w:t>
            </w:r>
          </w:p>
        </w:tc>
        <w:tc>
          <w:tcPr>
            <w:tcW w:w="1010" w:type="dxa"/>
            <w:vAlign w:val="center"/>
          </w:tcPr>
          <w:p>
            <w:pPr>
              <w:snapToGrid w:val="0"/>
              <w:jc w:val="center"/>
              <w:rPr>
                <w:szCs w:val="21"/>
              </w:rPr>
            </w:pPr>
            <w:r>
              <w:rPr>
                <w:szCs w:val="21"/>
              </w:rPr>
              <w:t>块</w:t>
            </w:r>
          </w:p>
        </w:tc>
        <w:tc>
          <w:tcPr>
            <w:tcW w:w="1092" w:type="dxa"/>
            <w:vAlign w:val="center"/>
          </w:tcPr>
          <w:p>
            <w:pPr>
              <w:snapToGrid w:val="0"/>
              <w:jc w:val="center"/>
              <w:rPr>
                <w:szCs w:val="21"/>
              </w:rPr>
            </w:pPr>
            <w:r>
              <w:rPr>
                <w:szCs w:val="21"/>
              </w:rPr>
              <w:t>4</w:t>
            </w:r>
          </w:p>
        </w:tc>
        <w:tc>
          <w:tcPr>
            <w:tcW w:w="2376" w:type="dxa"/>
            <w:vAlign w:val="center"/>
          </w:tcPr>
          <w:p>
            <w:pPr>
              <w:snapToGrid w:val="0"/>
              <w:rPr>
                <w:szCs w:val="21"/>
              </w:rPr>
            </w:pPr>
            <w:r>
              <w:rPr>
                <w:szCs w:val="21"/>
              </w:rPr>
              <w:t>高陡边坡危险</w:t>
            </w:r>
          </w:p>
        </w:tc>
      </w:tr>
    </w:tbl>
    <w:p>
      <w:pPr>
        <w:pStyle w:val="14"/>
        <w:spacing w:line="360" w:lineRule="auto"/>
        <w:ind w:firstLine="480" w:firstLineChars="200"/>
        <w:rPr>
          <w:rFonts w:ascii="Times New Roman" w:hAnsi="Times New Roman" w:cs="Times New Roman"/>
          <w:sz w:val="24"/>
        </w:rPr>
      </w:pPr>
      <w:r>
        <w:rPr>
          <w:rFonts w:ascii="Times New Roman" w:hAnsi="Times New Roman" w:cs="Times New Roman"/>
          <w:sz w:val="24"/>
        </w:rPr>
        <w:t>标牌制作要求：</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a、禁止标志</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禁止标志的基本形状为带斜杠的圆环，如图</w:t>
      </w:r>
      <w:r>
        <w:rPr>
          <w:rFonts w:hint="eastAsia" w:ascii="Times New Roman" w:hAnsi="Times New Roman" w:cs="Times New Roman"/>
          <w:sz w:val="24"/>
          <w:szCs w:val="24"/>
        </w:rPr>
        <w:t>4-8</w:t>
      </w:r>
      <w:r>
        <w:rPr>
          <w:rFonts w:ascii="Times New Roman" w:hAnsi="Times New Roman" w:cs="Times New Roman"/>
          <w:sz w:val="24"/>
          <w:szCs w:val="24"/>
        </w:rPr>
        <w:t>。</w:t>
      </w:r>
    </w:p>
    <w:p>
      <w:pPr>
        <w:pStyle w:val="14"/>
        <w:spacing w:line="360" w:lineRule="auto"/>
        <w:ind w:firstLine="560" w:firstLineChars="20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992630" cy="1967865"/>
            <wp:effectExtent l="0" t="0" r="7620" b="13335"/>
            <wp:docPr id="229" name="图片 184" descr="http://www.safety.com.cn/standard/tu/gb14161-20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84" descr="http://www.safety.com.cn/standard/tu/gb14161-2008-1.gif"/>
                    <pic:cNvPicPr>
                      <a:picLocks noChangeAspect="1" noChangeArrowheads="1"/>
                    </pic:cNvPicPr>
                  </pic:nvPicPr>
                  <pic:blipFill>
                    <a:blip r:embed="rId63" cstate="print"/>
                    <a:srcRect l="6213" t="2833" r="10059" b="8782"/>
                    <a:stretch>
                      <a:fillRect/>
                    </a:stretch>
                  </pic:blipFill>
                  <pic:spPr>
                    <a:xfrm>
                      <a:off x="0" y="0"/>
                      <a:ext cx="1992673" cy="1967865"/>
                    </a:xfrm>
                    <a:prstGeom prst="rect">
                      <a:avLst/>
                    </a:prstGeom>
                    <a:noFill/>
                    <a:ln w="9525">
                      <a:noFill/>
                      <a:miter lim="800000"/>
                      <a:headEnd/>
                      <a:tailEnd/>
                    </a:ln>
                  </pic:spPr>
                </pic:pic>
              </a:graphicData>
            </a:graphic>
          </wp:inline>
        </w:drawing>
      </w:r>
    </w:p>
    <w:p>
      <w:pPr>
        <w:pStyle w:val="14"/>
        <w:spacing w:line="360" w:lineRule="auto"/>
        <w:jc w:val="center"/>
        <w:rPr>
          <w:rFonts w:ascii="Times New Roman" w:hAnsi="Times New Roman" w:cs="Times New Roman"/>
          <w:szCs w:val="24"/>
        </w:rPr>
      </w:pPr>
      <w:r>
        <w:rPr>
          <w:rFonts w:ascii="Times New Roman" w:hAnsi="Times New Roman" w:cs="Times New Roman"/>
          <w:szCs w:val="24"/>
        </w:rPr>
        <w:t>图4-</w:t>
      </w:r>
      <w:r>
        <w:rPr>
          <w:rFonts w:hint="eastAsia" w:ascii="Times New Roman" w:hAnsi="Times New Roman" w:cs="Times New Roman"/>
          <w:szCs w:val="24"/>
        </w:rPr>
        <w:t>8</w:t>
      </w:r>
      <w:r>
        <w:rPr>
          <w:rFonts w:ascii="Times New Roman" w:hAnsi="Times New Roman" w:cs="Times New Roman"/>
          <w:szCs w:val="24"/>
        </w:rPr>
        <w:t xml:space="preserve">   禁止标志制作样版图</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禁止标志的颜色，为白底，红圈、红斜杠，黑图形符号</w:t>
      </w:r>
      <w:r>
        <w:rPr>
          <w:rFonts w:hint="eastAsia" w:ascii="Times New Roman" w:hAnsi="Times New Roman" w:cs="Times New Roman"/>
          <w:sz w:val="24"/>
          <w:szCs w:val="24"/>
        </w:rPr>
        <w:t>（表4-10）</w:t>
      </w:r>
      <w:r>
        <w:rPr>
          <w:rFonts w:ascii="Times New Roman" w:hAnsi="Times New Roman" w:cs="Times New Roman"/>
          <w:sz w:val="24"/>
          <w:szCs w:val="24"/>
        </w:rPr>
        <w:t>。</w:t>
      </w:r>
    </w:p>
    <w:p>
      <w:pPr>
        <w:spacing w:line="360" w:lineRule="auto"/>
        <w:jc w:val="center"/>
        <w:rPr>
          <w:sz w:val="24"/>
        </w:rPr>
      </w:pPr>
      <w:r>
        <w:rPr>
          <w:sz w:val="24"/>
        </w:rPr>
        <w:t>表4-1</w:t>
      </w:r>
      <w:r>
        <w:rPr>
          <w:rFonts w:hint="eastAsia"/>
          <w:sz w:val="24"/>
        </w:rPr>
        <w:t>0</w:t>
      </w:r>
      <w:r>
        <w:rPr>
          <w:sz w:val="24"/>
        </w:rPr>
        <w:t xml:space="preserve">     露采场警示牌设置说明表</w:t>
      </w:r>
    </w:p>
    <w:tbl>
      <w:tblPr>
        <w:tblStyle w:val="34"/>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26"/>
        <w:gridCol w:w="1704"/>
        <w:gridCol w:w="2392"/>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7" w:type="dxa"/>
            <w:vAlign w:val="center"/>
          </w:tcPr>
          <w:p>
            <w:pPr>
              <w:jc w:val="center"/>
              <w:rPr>
                <w:sz w:val="22"/>
              </w:rPr>
            </w:pPr>
            <w:r>
              <w:rPr>
                <w:sz w:val="22"/>
              </w:rPr>
              <w:t>编号</w:t>
            </w:r>
          </w:p>
        </w:tc>
        <w:tc>
          <w:tcPr>
            <w:tcW w:w="2526" w:type="dxa"/>
            <w:vAlign w:val="center"/>
          </w:tcPr>
          <w:p>
            <w:pPr>
              <w:jc w:val="center"/>
              <w:rPr>
                <w:sz w:val="22"/>
              </w:rPr>
            </w:pPr>
            <w:r>
              <w:rPr>
                <w:sz w:val="22"/>
              </w:rPr>
              <w:t>符号</w:t>
            </w:r>
          </w:p>
        </w:tc>
        <w:tc>
          <w:tcPr>
            <w:tcW w:w="1704" w:type="dxa"/>
            <w:vAlign w:val="center"/>
          </w:tcPr>
          <w:p>
            <w:pPr>
              <w:jc w:val="center"/>
              <w:rPr>
                <w:sz w:val="22"/>
              </w:rPr>
            </w:pPr>
            <w:r>
              <w:rPr>
                <w:sz w:val="22"/>
              </w:rPr>
              <w:t>名称</w:t>
            </w:r>
          </w:p>
        </w:tc>
        <w:tc>
          <w:tcPr>
            <w:tcW w:w="2392" w:type="dxa"/>
            <w:vAlign w:val="center"/>
          </w:tcPr>
          <w:p>
            <w:pPr>
              <w:jc w:val="center"/>
              <w:rPr>
                <w:sz w:val="22"/>
              </w:rPr>
            </w:pPr>
            <w:r>
              <w:rPr>
                <w:sz w:val="22"/>
              </w:rPr>
              <w:t>设置地点</w:t>
            </w:r>
          </w:p>
        </w:tc>
        <w:tc>
          <w:tcPr>
            <w:tcW w:w="1385" w:type="dxa"/>
            <w:vAlign w:val="center"/>
          </w:tcPr>
          <w:p>
            <w:pPr>
              <w:jc w:val="center"/>
              <w:rPr>
                <w:sz w:val="22"/>
              </w:rPr>
            </w:pPr>
            <w:r>
              <w:rPr>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17" w:type="dxa"/>
            <w:vAlign w:val="center"/>
          </w:tcPr>
          <w:p>
            <w:pPr>
              <w:jc w:val="center"/>
              <w:rPr>
                <w:sz w:val="22"/>
              </w:rPr>
            </w:pPr>
            <w:r>
              <w:rPr>
                <w:sz w:val="22"/>
              </w:rPr>
              <w:t>1</w:t>
            </w:r>
          </w:p>
        </w:tc>
        <w:tc>
          <w:tcPr>
            <w:tcW w:w="2526" w:type="dxa"/>
            <w:vAlign w:val="center"/>
          </w:tcPr>
          <w:p>
            <w:pPr>
              <w:jc w:val="center"/>
              <w:rPr>
                <w:sz w:val="22"/>
              </w:rPr>
            </w:pPr>
            <w:r>
              <w:rPr>
                <w:sz w:val="22"/>
              </w:rPr>
              <w:drawing>
                <wp:inline distT="0" distB="0" distL="0" distR="0">
                  <wp:extent cx="824865" cy="824865"/>
                  <wp:effectExtent l="0" t="0" r="13335" b="13335"/>
                  <wp:docPr id="295" name="图片 295" descr="http://www.safety.com.cn/standard/tu/gb14161-20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http://www.safety.com.cn/standard/tu/gb14161-2008-7.gif"/>
                          <pic:cNvPicPr>
                            <a:picLocks noChangeAspect="1" noChangeArrowheads="1"/>
                          </pic:cNvPicPr>
                        </pic:nvPicPr>
                        <pic:blipFill>
                          <a:blip r:embed="rId64" cstate="print">
                            <a:extLst>
                              <a:ext uri="{28A0092B-C50C-407E-A947-70E740481C1C}">
                                <a14:useLocalDpi xmlns:a14="http://schemas.microsoft.com/office/drawing/2010/main" val="0"/>
                              </a:ext>
                            </a:extLst>
                          </a:blip>
                          <a:srcRect l="11377" t="39977" r="53767" b="36594"/>
                          <a:stretch>
                            <a:fillRect/>
                          </a:stretch>
                        </pic:blipFill>
                        <pic:spPr>
                          <a:xfrm>
                            <a:off x="0" y="0"/>
                            <a:ext cx="824865" cy="824865"/>
                          </a:xfrm>
                          <a:prstGeom prst="rect">
                            <a:avLst/>
                          </a:prstGeom>
                          <a:noFill/>
                          <a:ln>
                            <a:noFill/>
                          </a:ln>
                        </pic:spPr>
                      </pic:pic>
                    </a:graphicData>
                  </a:graphic>
                </wp:inline>
              </w:drawing>
            </w:r>
          </w:p>
        </w:tc>
        <w:tc>
          <w:tcPr>
            <w:tcW w:w="1704" w:type="dxa"/>
            <w:vAlign w:val="center"/>
          </w:tcPr>
          <w:p>
            <w:pPr>
              <w:jc w:val="center"/>
              <w:rPr>
                <w:sz w:val="22"/>
              </w:rPr>
            </w:pPr>
            <w:r>
              <w:rPr>
                <w:sz w:val="22"/>
              </w:rPr>
              <w:t>禁止入内</w:t>
            </w:r>
          </w:p>
        </w:tc>
        <w:tc>
          <w:tcPr>
            <w:tcW w:w="2392" w:type="dxa"/>
            <w:vAlign w:val="center"/>
          </w:tcPr>
          <w:p>
            <w:pPr>
              <w:rPr>
                <w:sz w:val="22"/>
              </w:rPr>
            </w:pPr>
            <w:r>
              <w:rPr>
                <w:sz w:val="22"/>
              </w:rPr>
              <w:t>设置在用栅栏隔离的危险区及沉淀池区域，禁止人员入内。</w:t>
            </w:r>
          </w:p>
        </w:tc>
        <w:tc>
          <w:tcPr>
            <w:tcW w:w="1385" w:type="dxa"/>
            <w:vAlign w:val="center"/>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sz w:val="22"/>
              </w:rPr>
            </w:pPr>
            <w:r>
              <w:rPr>
                <w:sz w:val="22"/>
              </w:rPr>
              <w:t>2</w:t>
            </w:r>
          </w:p>
        </w:tc>
        <w:tc>
          <w:tcPr>
            <w:tcW w:w="2526" w:type="dxa"/>
            <w:vAlign w:val="center"/>
          </w:tcPr>
          <w:p>
            <w:pPr>
              <w:jc w:val="center"/>
              <w:rPr>
                <w:sz w:val="22"/>
              </w:rPr>
            </w:pPr>
            <w:r>
              <w:rPr>
                <w:sz w:val="22"/>
              </w:rPr>
              <w:drawing>
                <wp:inline distT="0" distB="0" distL="0" distR="0">
                  <wp:extent cx="911860" cy="929640"/>
                  <wp:effectExtent l="0" t="0" r="2540" b="3810"/>
                  <wp:docPr id="294" name="图片 294" descr="http://www.safety.com.cn/standard/tu/gb14161-20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http://www.safety.com.cn/standard/tu/gb14161-2008-7.gif"/>
                          <pic:cNvPicPr>
                            <a:picLocks noChangeAspect="1" noChangeArrowheads="1"/>
                          </pic:cNvPicPr>
                        </pic:nvPicPr>
                        <pic:blipFill>
                          <a:blip r:embed="rId64">
                            <a:extLst>
                              <a:ext uri="{28A0092B-C50C-407E-A947-70E740481C1C}">
                                <a14:useLocalDpi xmlns:a14="http://schemas.microsoft.com/office/drawing/2010/main" val="0"/>
                              </a:ext>
                            </a:extLst>
                          </a:blip>
                          <a:srcRect l="11197" t="71619" r="54131" b="4710"/>
                          <a:stretch>
                            <a:fillRect/>
                          </a:stretch>
                        </pic:blipFill>
                        <pic:spPr>
                          <a:xfrm>
                            <a:off x="0" y="0"/>
                            <a:ext cx="928558" cy="946278"/>
                          </a:xfrm>
                          <a:prstGeom prst="rect">
                            <a:avLst/>
                          </a:prstGeom>
                          <a:noFill/>
                          <a:ln>
                            <a:noFill/>
                          </a:ln>
                        </pic:spPr>
                      </pic:pic>
                    </a:graphicData>
                  </a:graphic>
                </wp:inline>
              </w:drawing>
            </w:r>
          </w:p>
        </w:tc>
        <w:tc>
          <w:tcPr>
            <w:tcW w:w="1704" w:type="dxa"/>
            <w:vAlign w:val="center"/>
          </w:tcPr>
          <w:p>
            <w:pPr>
              <w:jc w:val="center"/>
              <w:rPr>
                <w:sz w:val="22"/>
              </w:rPr>
            </w:pPr>
            <w:r>
              <w:rPr>
                <w:sz w:val="22"/>
              </w:rPr>
              <w:t>禁止通行</w:t>
            </w:r>
          </w:p>
        </w:tc>
        <w:tc>
          <w:tcPr>
            <w:tcW w:w="2392" w:type="dxa"/>
            <w:vAlign w:val="center"/>
          </w:tcPr>
          <w:p>
            <w:pPr>
              <w:rPr>
                <w:sz w:val="22"/>
              </w:rPr>
            </w:pPr>
            <w:r>
              <w:rPr>
                <w:sz w:val="22"/>
              </w:rPr>
              <w:t>禁止行人通道口等</w:t>
            </w:r>
          </w:p>
        </w:tc>
        <w:tc>
          <w:tcPr>
            <w:tcW w:w="1385" w:type="dxa"/>
            <w:vAlign w:val="center"/>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sz w:val="22"/>
              </w:rPr>
            </w:pPr>
            <w:r>
              <w:rPr>
                <w:sz w:val="22"/>
              </w:rPr>
              <w:t>3</w:t>
            </w:r>
          </w:p>
        </w:tc>
        <w:tc>
          <w:tcPr>
            <w:tcW w:w="2526" w:type="dxa"/>
            <w:vAlign w:val="center"/>
          </w:tcPr>
          <w:p>
            <w:pPr>
              <w:jc w:val="center"/>
              <w:rPr>
                <w:sz w:val="22"/>
              </w:rPr>
            </w:pPr>
            <w:r>
              <w:rPr>
                <w:sz w:val="22"/>
              </w:rPr>
              <w:drawing>
                <wp:inline distT="0" distB="0" distL="0" distR="0">
                  <wp:extent cx="885825" cy="885825"/>
                  <wp:effectExtent l="0" t="0" r="9525" b="9525"/>
                  <wp:docPr id="293" name="图片 293" descr="http://www.safety.com.cn/standard/tu/gb14161-20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http://www.safety.com.cn/standard/tu/gb14161-2008-8.gif"/>
                          <pic:cNvPicPr>
                            <a:picLocks noChangeAspect="1" noChangeArrowheads="1"/>
                          </pic:cNvPicPr>
                        </pic:nvPicPr>
                        <pic:blipFill>
                          <a:blip r:embed="rId65">
                            <a:extLst>
                              <a:ext uri="{28A0092B-C50C-407E-A947-70E740481C1C}">
                                <a14:useLocalDpi xmlns:a14="http://schemas.microsoft.com/office/drawing/2010/main" val="0"/>
                              </a:ext>
                            </a:extLst>
                          </a:blip>
                          <a:srcRect l="11197" t="71515" r="54131" b="5212"/>
                          <a:stretch>
                            <a:fillRect/>
                          </a:stretch>
                        </pic:blipFill>
                        <pic:spPr>
                          <a:xfrm>
                            <a:off x="0" y="0"/>
                            <a:ext cx="885825" cy="885825"/>
                          </a:xfrm>
                          <a:prstGeom prst="rect">
                            <a:avLst/>
                          </a:prstGeom>
                          <a:noFill/>
                          <a:ln>
                            <a:noFill/>
                          </a:ln>
                        </pic:spPr>
                      </pic:pic>
                    </a:graphicData>
                  </a:graphic>
                </wp:inline>
              </w:drawing>
            </w:r>
          </w:p>
        </w:tc>
        <w:tc>
          <w:tcPr>
            <w:tcW w:w="1704" w:type="dxa"/>
            <w:vAlign w:val="center"/>
          </w:tcPr>
          <w:p>
            <w:pPr>
              <w:jc w:val="center"/>
              <w:rPr>
                <w:sz w:val="22"/>
              </w:rPr>
            </w:pPr>
            <w:r>
              <w:rPr>
                <w:sz w:val="22"/>
              </w:rPr>
              <w:t>禁止驶入</w:t>
            </w:r>
          </w:p>
        </w:tc>
        <w:tc>
          <w:tcPr>
            <w:tcW w:w="2392" w:type="dxa"/>
            <w:vAlign w:val="center"/>
          </w:tcPr>
          <w:p>
            <w:pPr>
              <w:jc w:val="center"/>
              <w:rPr>
                <w:sz w:val="22"/>
              </w:rPr>
            </w:pPr>
            <w:r>
              <w:rPr>
                <w:sz w:val="22"/>
              </w:rPr>
              <w:t>线路终点和禁止机车驶入地段</w:t>
            </w:r>
          </w:p>
        </w:tc>
        <w:tc>
          <w:tcPr>
            <w:tcW w:w="1385" w:type="dxa"/>
            <w:vAlign w:val="center"/>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sz w:val="22"/>
              </w:rPr>
            </w:pPr>
            <w:r>
              <w:rPr>
                <w:sz w:val="22"/>
              </w:rPr>
              <w:t>4</w:t>
            </w:r>
          </w:p>
        </w:tc>
        <w:tc>
          <w:tcPr>
            <w:tcW w:w="2526" w:type="dxa"/>
            <w:vAlign w:val="center"/>
          </w:tcPr>
          <w:p>
            <w:pPr>
              <w:jc w:val="center"/>
              <w:rPr>
                <w:sz w:val="22"/>
              </w:rPr>
            </w:pPr>
            <w:r>
              <w:drawing>
                <wp:inline distT="0" distB="0" distL="0" distR="0">
                  <wp:extent cx="1028700" cy="8001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36472" cy="806145"/>
                          </a:xfrm>
                          <a:prstGeom prst="rect">
                            <a:avLst/>
                          </a:prstGeom>
                          <a:noFill/>
                          <a:ln>
                            <a:noFill/>
                          </a:ln>
                        </pic:spPr>
                      </pic:pic>
                    </a:graphicData>
                  </a:graphic>
                </wp:inline>
              </w:drawing>
            </w:r>
          </w:p>
        </w:tc>
        <w:tc>
          <w:tcPr>
            <w:tcW w:w="1704" w:type="dxa"/>
            <w:vAlign w:val="center"/>
          </w:tcPr>
          <w:p>
            <w:pPr>
              <w:jc w:val="center"/>
              <w:rPr>
                <w:sz w:val="22"/>
              </w:rPr>
            </w:pPr>
            <w:r>
              <w:rPr>
                <w:sz w:val="22"/>
              </w:rPr>
              <w:t>水深危险</w:t>
            </w:r>
          </w:p>
        </w:tc>
        <w:tc>
          <w:tcPr>
            <w:tcW w:w="2392" w:type="dxa"/>
            <w:vAlign w:val="center"/>
          </w:tcPr>
          <w:p>
            <w:pPr>
              <w:jc w:val="center"/>
              <w:rPr>
                <w:sz w:val="22"/>
              </w:rPr>
            </w:pPr>
            <w:r>
              <w:rPr>
                <w:sz w:val="22"/>
              </w:rPr>
              <w:t>沉淀池和储水池区域，禁止人员戏水</w:t>
            </w:r>
          </w:p>
        </w:tc>
        <w:tc>
          <w:tcPr>
            <w:tcW w:w="1385" w:type="dxa"/>
            <w:vAlign w:val="center"/>
          </w:tcPr>
          <w:p>
            <w:pPr>
              <w:jc w:val="center"/>
              <w:rPr>
                <w:sz w:val="22"/>
              </w:rPr>
            </w:pPr>
          </w:p>
        </w:tc>
      </w:tr>
    </w:tbl>
    <w:p>
      <w:pPr>
        <w:pStyle w:val="14"/>
        <w:ind w:firstLine="480" w:firstLineChars="200"/>
        <w:rPr>
          <w:rFonts w:ascii="Times New Roman" w:hAnsi="Times New Roman" w:cs="Times New Roman"/>
          <w:sz w:val="24"/>
          <w:szCs w:val="24"/>
        </w:rPr>
      </w:pP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禁止标志的基本尺寸应根据最大观察距离（L）确定</w:t>
      </w:r>
      <w:r>
        <w:rPr>
          <w:rFonts w:hint="eastAsia" w:ascii="Times New Roman" w:hAnsi="Times New Roman" w:cs="Times New Roman"/>
          <w:sz w:val="24"/>
          <w:szCs w:val="24"/>
        </w:rPr>
        <w:t>（表4-11）</w:t>
      </w:r>
      <w:r>
        <w:rPr>
          <w:rFonts w:ascii="Times New Roman" w:hAnsi="Times New Roman" w:cs="Times New Roman"/>
          <w:sz w:val="24"/>
          <w:szCs w:val="24"/>
        </w:rPr>
        <w:t>。</w:t>
      </w:r>
    </w:p>
    <w:p>
      <w:pPr>
        <w:pStyle w:val="14"/>
        <w:spacing w:line="360" w:lineRule="auto"/>
        <w:ind w:firstLine="480" w:firstLineChars="200"/>
        <w:rPr>
          <w:rFonts w:ascii="Times New Roman" w:hAnsi="Times New Roman" w:cs="Times New Roman"/>
          <w:sz w:val="24"/>
          <w:szCs w:val="24"/>
        </w:rPr>
      </w:pPr>
    </w:p>
    <w:p>
      <w:pPr>
        <w:pStyle w:val="14"/>
        <w:spacing w:line="360" w:lineRule="auto"/>
        <w:ind w:firstLine="480" w:firstLineChars="200"/>
        <w:rPr>
          <w:rFonts w:ascii="Times New Roman" w:hAnsi="Times New Roman" w:cs="Times New Roman"/>
          <w:sz w:val="24"/>
          <w:szCs w:val="24"/>
        </w:rPr>
      </w:pPr>
    </w:p>
    <w:p>
      <w:pPr>
        <w:pStyle w:val="14"/>
        <w:spacing w:line="360" w:lineRule="auto"/>
        <w:ind w:firstLine="480" w:firstLineChars="200"/>
        <w:rPr>
          <w:rFonts w:ascii="Times New Roman" w:hAnsi="Times New Roman" w:cs="Times New Roman"/>
          <w:sz w:val="24"/>
          <w:szCs w:val="24"/>
        </w:rPr>
      </w:pPr>
    </w:p>
    <w:p>
      <w:pPr>
        <w:pStyle w:val="14"/>
        <w:spacing w:line="360" w:lineRule="auto"/>
        <w:ind w:firstLine="480" w:firstLineChars="200"/>
        <w:rPr>
          <w:rFonts w:ascii="Times New Roman" w:hAnsi="Times New Roman" w:cs="Times New Roman"/>
          <w:sz w:val="24"/>
          <w:szCs w:val="24"/>
        </w:rPr>
      </w:pPr>
    </w:p>
    <w:p>
      <w:pPr>
        <w:spacing w:line="360" w:lineRule="auto"/>
        <w:jc w:val="center"/>
        <w:rPr>
          <w:sz w:val="24"/>
        </w:rPr>
      </w:pPr>
      <w:r>
        <w:rPr>
          <w:sz w:val="24"/>
        </w:rPr>
        <w:t>表4-1</w:t>
      </w:r>
      <w:r>
        <w:rPr>
          <w:rFonts w:hint="eastAsia"/>
          <w:sz w:val="24"/>
        </w:rPr>
        <w:t>1</w:t>
      </w:r>
      <w:r>
        <w:rPr>
          <w:sz w:val="24"/>
        </w:rPr>
        <w:t xml:space="preserve">    禁止标志尺寸与最大观察距离的关系 （单位：mm）</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1864"/>
        <w:gridCol w:w="1464"/>
        <w:gridCol w:w="1662"/>
        <w:gridCol w:w="1663"/>
        <w:gridCol w:w="16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cantSplit/>
          <w:trHeight w:val="398" w:hRule="atLeast"/>
          <w:jc w:val="center"/>
        </w:trPr>
        <w:tc>
          <w:tcPr>
            <w:tcW w:w="1864" w:type="dxa"/>
            <w:vMerge w:val="restart"/>
            <w:tcBorders>
              <w:top w:val="single" w:color="auto" w:sz="4" w:space="0"/>
              <w:left w:val="single" w:color="auto" w:sz="4" w:space="0"/>
              <w:bottom w:val="single" w:color="auto" w:sz="4" w:space="0"/>
              <w:right w:val="single" w:color="auto" w:sz="4" w:space="0"/>
            </w:tcBorders>
            <w:vAlign w:val="center"/>
          </w:tcPr>
          <w:p>
            <w:pPr>
              <w:jc w:val="center"/>
            </w:pPr>
            <w:r>
              <w:t>标志尺寸</w:t>
            </w:r>
          </w:p>
        </w:tc>
        <w:tc>
          <w:tcPr>
            <w:tcW w:w="3126" w:type="dxa"/>
            <w:gridSpan w:val="2"/>
            <w:tcBorders>
              <w:top w:val="single" w:color="auto" w:sz="4" w:space="0"/>
              <w:left w:val="single" w:color="auto" w:sz="4" w:space="0"/>
              <w:bottom w:val="single" w:color="auto" w:sz="4" w:space="0"/>
              <w:right w:val="single" w:color="auto" w:sz="4" w:space="0"/>
            </w:tcBorders>
            <w:vAlign w:val="center"/>
          </w:tcPr>
          <w:p>
            <w:pPr>
              <w:jc w:val="center"/>
            </w:pPr>
            <w:r>
              <w:t>逆向反射标志</w:t>
            </w:r>
          </w:p>
        </w:tc>
        <w:tc>
          <w:tcPr>
            <w:tcW w:w="3326" w:type="dxa"/>
            <w:gridSpan w:val="2"/>
            <w:tcBorders>
              <w:top w:val="single" w:color="auto" w:sz="4" w:space="0"/>
              <w:left w:val="single" w:color="auto" w:sz="4" w:space="0"/>
              <w:bottom w:val="single" w:color="auto" w:sz="4" w:space="0"/>
              <w:right w:val="single" w:color="auto" w:sz="4" w:space="0"/>
            </w:tcBorders>
            <w:vAlign w:val="center"/>
          </w:tcPr>
          <w:p>
            <w:pPr>
              <w:jc w:val="center"/>
            </w:pPr>
            <w:r>
              <w:t>自发光标志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9" w:hRule="atLeast"/>
          <w:jc w:val="center"/>
        </w:trPr>
        <w:tc>
          <w:tcPr>
            <w:tcW w:w="1864" w:type="dxa"/>
            <w:vMerge w:val="continue"/>
            <w:tcBorders>
              <w:top w:val="single" w:color="auto" w:sz="4" w:space="0"/>
              <w:left w:val="single" w:color="auto" w:sz="4" w:space="0"/>
              <w:bottom w:val="single" w:color="auto" w:sz="4" w:space="0"/>
              <w:right w:val="single" w:color="auto" w:sz="4" w:space="0"/>
            </w:tcBorders>
            <w:vAlign w:val="center"/>
          </w:tcP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L=10m</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L=15m</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L=10m</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L=15m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标志外径D</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250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375</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250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320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6"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红杠宽度a</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20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30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20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3"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红环宽度b</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25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38</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25</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5"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白边宽度e</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7</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5</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7</w:t>
            </w:r>
          </w:p>
        </w:tc>
      </w:tr>
    </w:tbl>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b、路标、名牌、提示标志</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路标、名牌、提示标志的基本形状为长方形，如图</w:t>
      </w:r>
      <w:r>
        <w:rPr>
          <w:rFonts w:hint="eastAsia" w:ascii="Times New Roman" w:hAnsi="Times New Roman" w:cs="Times New Roman"/>
          <w:sz w:val="24"/>
          <w:szCs w:val="24"/>
        </w:rPr>
        <w:t>4-9</w:t>
      </w:r>
      <w:r>
        <w:rPr>
          <w:rFonts w:ascii="Times New Roman" w:hAnsi="Times New Roman" w:cs="Times New Roman"/>
          <w:sz w:val="24"/>
          <w:szCs w:val="24"/>
        </w:rPr>
        <w:t>所示。</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路标、名牌、提示标志的颜色为绿底、白图案，白字亦可用黑字。</w:t>
      </w:r>
    </w:p>
    <w:p>
      <w:pPr>
        <w:pStyle w:val="14"/>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路标、名牌、提示标志的基本尺寸应根据最大观察距离（L）确定</w:t>
      </w:r>
      <w:r>
        <w:rPr>
          <w:rFonts w:hint="eastAsia" w:ascii="Times New Roman" w:hAnsi="Times New Roman" w:cs="Times New Roman"/>
          <w:sz w:val="24"/>
          <w:szCs w:val="24"/>
        </w:rPr>
        <w:t>（表4-12）</w:t>
      </w:r>
      <w:r>
        <w:rPr>
          <w:rFonts w:ascii="Times New Roman" w:hAnsi="Times New Roman" w:cs="Times New Roman"/>
          <w:sz w:val="24"/>
          <w:szCs w:val="24"/>
        </w:rPr>
        <w:t>，按表选取路标牌的尺寸根据实际需要可按比例放大。</w:t>
      </w:r>
    </w:p>
    <w:p>
      <w:pPr>
        <w:pStyle w:val="14"/>
        <w:spacing w:line="360" w:lineRule="auto"/>
        <w:ind w:firstLine="560" w:firstLineChars="20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009900" cy="2196465"/>
            <wp:effectExtent l="0" t="0" r="0" b="0"/>
            <wp:docPr id="231" name="图片 209" descr="http://www.safety.com.cn/standard/tu/gb14161-200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09" descr="http://www.safety.com.cn/standard/tu/gb14161-2008-26.gif"/>
                    <pic:cNvPicPr>
                      <a:picLocks noChangeAspect="1" noChangeArrowheads="1"/>
                    </pic:cNvPicPr>
                  </pic:nvPicPr>
                  <pic:blipFill>
                    <a:blip r:embed="rId67" cstate="print"/>
                    <a:srcRect l="4988" t="3534" r="5486" b="3887"/>
                    <a:stretch>
                      <a:fillRect/>
                    </a:stretch>
                  </pic:blipFill>
                  <pic:spPr>
                    <a:xfrm>
                      <a:off x="0" y="0"/>
                      <a:ext cx="3009900" cy="2196640"/>
                    </a:xfrm>
                    <a:prstGeom prst="rect">
                      <a:avLst/>
                    </a:prstGeom>
                    <a:noFill/>
                    <a:ln w="9525">
                      <a:noFill/>
                      <a:miter lim="800000"/>
                      <a:headEnd/>
                      <a:tailEnd/>
                    </a:ln>
                  </pic:spPr>
                </pic:pic>
              </a:graphicData>
            </a:graphic>
          </wp:inline>
        </w:drawing>
      </w:r>
    </w:p>
    <w:p>
      <w:pPr>
        <w:spacing w:line="360" w:lineRule="auto"/>
        <w:jc w:val="center"/>
        <w:rPr>
          <w:sz w:val="22"/>
          <w:szCs w:val="28"/>
        </w:rPr>
      </w:pPr>
      <w:r>
        <w:rPr>
          <w:sz w:val="22"/>
          <w:szCs w:val="28"/>
        </w:rPr>
        <w:t>图4-</w:t>
      </w:r>
      <w:r>
        <w:rPr>
          <w:rFonts w:hint="eastAsia"/>
          <w:sz w:val="22"/>
          <w:szCs w:val="28"/>
        </w:rPr>
        <w:t>9</w:t>
      </w:r>
      <w:r>
        <w:rPr>
          <w:sz w:val="22"/>
          <w:szCs w:val="28"/>
        </w:rPr>
        <w:t xml:space="preserve">  路标、名牌、提示标志制作样版图</w:t>
      </w:r>
    </w:p>
    <w:p>
      <w:pPr>
        <w:spacing w:line="360" w:lineRule="auto"/>
        <w:jc w:val="center"/>
        <w:rPr>
          <w:sz w:val="24"/>
        </w:rPr>
      </w:pPr>
      <w:r>
        <w:rPr>
          <w:sz w:val="24"/>
        </w:rPr>
        <w:t>表4-1</w:t>
      </w:r>
      <w:r>
        <w:rPr>
          <w:rFonts w:hint="eastAsia"/>
          <w:sz w:val="24"/>
        </w:rPr>
        <w:t>2</w:t>
      </w:r>
      <w:r>
        <w:rPr>
          <w:sz w:val="24"/>
        </w:rPr>
        <w:t xml:space="preserve"> 提示标志尺寸与最大观察距离的关系（单位：mm）</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1864"/>
        <w:gridCol w:w="1464"/>
        <w:gridCol w:w="1662"/>
        <w:gridCol w:w="1663"/>
        <w:gridCol w:w="16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jc w:val="center"/>
        </w:trPr>
        <w:tc>
          <w:tcPr>
            <w:tcW w:w="1864" w:type="dxa"/>
            <w:vMerge w:val="restart"/>
            <w:tcBorders>
              <w:top w:val="single" w:color="auto" w:sz="4" w:space="0"/>
              <w:left w:val="single" w:color="auto" w:sz="4" w:space="0"/>
              <w:bottom w:val="single" w:color="auto" w:sz="4" w:space="0"/>
              <w:right w:val="single" w:color="auto" w:sz="4" w:space="0"/>
            </w:tcBorders>
            <w:vAlign w:val="center"/>
          </w:tcPr>
          <w:p>
            <w:pPr>
              <w:jc w:val="center"/>
            </w:pPr>
            <w:r>
              <w:t>标志尺寸</w:t>
            </w:r>
          </w:p>
        </w:tc>
        <w:tc>
          <w:tcPr>
            <w:tcW w:w="3126" w:type="dxa"/>
            <w:gridSpan w:val="2"/>
            <w:tcBorders>
              <w:top w:val="single" w:color="auto" w:sz="4" w:space="0"/>
              <w:left w:val="single" w:color="auto" w:sz="4" w:space="0"/>
              <w:bottom w:val="single" w:color="auto" w:sz="4" w:space="0"/>
              <w:right w:val="single" w:color="auto" w:sz="4" w:space="0"/>
            </w:tcBorders>
            <w:vAlign w:val="center"/>
          </w:tcPr>
          <w:p>
            <w:pPr>
              <w:jc w:val="center"/>
            </w:pPr>
            <w:r>
              <w:t>逆向反射标志</w:t>
            </w:r>
          </w:p>
        </w:tc>
        <w:tc>
          <w:tcPr>
            <w:tcW w:w="3326" w:type="dxa"/>
            <w:gridSpan w:val="2"/>
            <w:tcBorders>
              <w:top w:val="single" w:color="auto" w:sz="4" w:space="0"/>
              <w:left w:val="single" w:color="auto" w:sz="4" w:space="0"/>
              <w:bottom w:val="single" w:color="auto" w:sz="4" w:space="0"/>
              <w:right w:val="single" w:color="auto" w:sz="4" w:space="0"/>
            </w:tcBorders>
            <w:vAlign w:val="center"/>
          </w:tcPr>
          <w:p>
            <w:pPr>
              <w:jc w:val="center"/>
            </w:pPr>
            <w:r>
              <w:t>自发光标志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27" w:hRule="atLeast"/>
          <w:jc w:val="center"/>
        </w:trPr>
        <w:tc>
          <w:tcPr>
            <w:tcW w:w="1864" w:type="dxa"/>
            <w:vMerge w:val="continue"/>
            <w:tcBorders>
              <w:top w:val="single" w:color="auto" w:sz="4" w:space="0"/>
              <w:left w:val="single" w:color="auto" w:sz="4" w:space="0"/>
              <w:bottom w:val="single" w:color="auto" w:sz="4" w:space="0"/>
              <w:right w:val="single" w:color="auto" w:sz="4" w:space="0"/>
            </w:tcBorders>
            <w:vAlign w:val="center"/>
          </w:tcP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L=10m</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L=15m</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L=10m</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L=15m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9"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短边长度b</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220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320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200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25"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长边长度l</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330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480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300</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7" w:hRule="atLeast"/>
          <w:jc w:val="center"/>
        </w:trPr>
        <w:tc>
          <w:tcPr>
            <w:tcW w:w="1864" w:type="dxa"/>
            <w:tcBorders>
              <w:top w:val="single" w:color="auto" w:sz="4" w:space="0"/>
              <w:left w:val="single" w:color="auto" w:sz="4" w:space="0"/>
              <w:bottom w:val="single" w:color="auto" w:sz="4" w:space="0"/>
              <w:right w:val="single" w:color="auto" w:sz="4" w:space="0"/>
            </w:tcBorders>
            <w:vAlign w:val="center"/>
          </w:tcPr>
          <w:p>
            <w:pPr>
              <w:jc w:val="center"/>
            </w:pPr>
            <w:r>
              <w:t>白边宽度e</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pPr>
            <w:r>
              <w:t>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pPr>
            <w:r>
              <w:t>7</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5</w:t>
            </w:r>
          </w:p>
        </w:tc>
        <w:tc>
          <w:tcPr>
            <w:tcW w:w="1663" w:type="dxa"/>
            <w:tcBorders>
              <w:top w:val="single" w:color="auto" w:sz="4" w:space="0"/>
              <w:left w:val="single" w:color="auto" w:sz="4" w:space="0"/>
              <w:bottom w:val="single" w:color="auto" w:sz="4" w:space="0"/>
              <w:right w:val="single" w:color="auto" w:sz="4" w:space="0"/>
            </w:tcBorders>
            <w:vAlign w:val="center"/>
          </w:tcPr>
          <w:p>
            <w:pPr>
              <w:jc w:val="center"/>
            </w:pPr>
            <w:r>
              <w:t>7</w:t>
            </w:r>
          </w:p>
        </w:tc>
      </w:tr>
    </w:tbl>
    <w:p>
      <w:pPr>
        <w:pStyle w:val="5"/>
        <w:spacing w:before="0" w:after="0" w:line="360" w:lineRule="auto"/>
        <w:jc w:val="left"/>
        <w:rPr>
          <w:b w:val="0"/>
          <w:bCs w:val="0"/>
          <w:sz w:val="24"/>
          <w:szCs w:val="24"/>
        </w:rPr>
      </w:pPr>
      <w:r>
        <w:rPr>
          <w:b w:val="0"/>
          <w:bCs w:val="0"/>
          <w:sz w:val="24"/>
          <w:szCs w:val="24"/>
        </w:rPr>
        <w:t>（三）监测和管护工程</w:t>
      </w:r>
    </w:p>
    <w:p>
      <w:pPr>
        <w:spacing w:line="470" w:lineRule="exact"/>
        <w:ind w:firstLine="480" w:firstLineChars="200"/>
        <w:rPr>
          <w:sz w:val="24"/>
        </w:rPr>
      </w:pPr>
      <w:r>
        <w:rPr>
          <w:sz w:val="24"/>
        </w:rPr>
        <w:t>本矿山设计为小型规模露天开采矿山，周边地区为一般农村地区，无重点保护对象。根据规范矿山在开采、闭采及恢复治理过程中，均应开展地质环境监测工作，据《矿山地质环境监测技术规程》（DZ/T 0287-2015），本矿山监测级别属二级。本次设计对边坡稳定性等地质灾害、地下水环境破坏及土壤环境破坏、植被恢复监测等情况进行监测。</w:t>
      </w:r>
    </w:p>
    <w:p>
      <w:pPr>
        <w:spacing w:line="470" w:lineRule="exact"/>
        <w:ind w:firstLine="480" w:firstLineChars="200"/>
        <w:rPr>
          <w:sz w:val="24"/>
        </w:rPr>
      </w:pPr>
      <w:r>
        <w:rPr>
          <w:sz w:val="24"/>
        </w:rPr>
        <w:t>1、地质灾害监测工程及进度安排</w:t>
      </w:r>
    </w:p>
    <w:p>
      <w:pPr>
        <w:spacing w:line="470" w:lineRule="exact"/>
        <w:ind w:firstLine="480" w:firstLineChars="200"/>
        <w:rPr>
          <w:sz w:val="24"/>
        </w:rPr>
      </w:pPr>
      <w:r>
        <w:rPr>
          <w:sz w:val="24"/>
        </w:rPr>
        <w:t>（1）监测内容：露采边坡开始清理后应进行变形监测，施工过程中加强施工安全监测，治理施工完成后一年内进行治理效果检查监测，治理施工完成后较长时间内的雨季或暴雨季节，还应加强巡视和检查工作。治理施工完成后监测要求具体如下：</w:t>
      </w:r>
    </w:p>
    <w:p>
      <w:pPr>
        <w:spacing w:line="470" w:lineRule="exact"/>
        <w:ind w:firstLine="480" w:firstLineChars="200"/>
        <w:rPr>
          <w:sz w:val="24"/>
        </w:rPr>
      </w:pPr>
      <w:r>
        <w:rPr>
          <w:sz w:val="24"/>
        </w:rPr>
        <w:t>（2）监测方法：宜采用全站仪观测方法定期对采场治理边坡危岩、浮石次生地质灾害进行监测，监测网点布设如下：</w:t>
      </w:r>
    </w:p>
    <w:p>
      <w:pPr>
        <w:spacing w:line="470" w:lineRule="exact"/>
        <w:ind w:firstLine="480" w:firstLineChars="200"/>
        <w:rPr>
          <w:sz w:val="24"/>
        </w:rPr>
      </w:pPr>
      <w:r>
        <w:rPr>
          <w:sz w:val="24"/>
        </w:rPr>
        <w:t>a、边坡变形监测点布置执行《矿山地质环境监测技术规程》（DZ/T 0287-2015）；按十字交叉布设监测线（网），同时在线上布置布点；</w:t>
      </w:r>
    </w:p>
    <w:p>
      <w:pPr>
        <w:spacing w:line="470" w:lineRule="exact"/>
        <w:ind w:firstLine="480" w:firstLineChars="200"/>
        <w:rPr>
          <w:sz w:val="24"/>
        </w:rPr>
      </w:pPr>
      <w:r>
        <w:rPr>
          <w:sz w:val="24"/>
        </w:rPr>
        <w:t>b、危岩、浮石、次生地质灾害监测点主要布置于治理后边坡位置，坡度较大处，斜坡稳定性监测点7个。</w:t>
      </w:r>
    </w:p>
    <w:p>
      <w:pPr>
        <w:spacing w:line="470" w:lineRule="exact"/>
        <w:ind w:firstLine="480" w:firstLineChars="200"/>
        <w:rPr>
          <w:sz w:val="24"/>
        </w:rPr>
      </w:pPr>
      <w:r>
        <w:rPr>
          <w:sz w:val="24"/>
        </w:rPr>
        <w:t>c、边坡变形及治理效果检验监测应由专业人员施测，确保数据精度及达到预测预报的目的；</w:t>
      </w:r>
    </w:p>
    <w:p>
      <w:pPr>
        <w:spacing w:line="470" w:lineRule="exact"/>
        <w:ind w:firstLine="480" w:firstLineChars="200"/>
        <w:rPr>
          <w:sz w:val="24"/>
        </w:rPr>
      </w:pPr>
      <w:r>
        <w:rPr>
          <w:sz w:val="24"/>
        </w:rPr>
        <w:t>d、施工中应随时观测坡体位移、房屋裂缝变化。如出现异常情况，应及时采取暂停开采，并采取相应措施，以确保人员安全。</w:t>
      </w:r>
    </w:p>
    <w:p>
      <w:pPr>
        <w:spacing w:line="470" w:lineRule="exact"/>
        <w:ind w:firstLine="480" w:firstLineChars="200"/>
        <w:rPr>
          <w:sz w:val="24"/>
        </w:rPr>
      </w:pPr>
      <w:r>
        <w:rPr>
          <w:sz w:val="24"/>
        </w:rPr>
        <w:t>（3）监测时段和频次：</w:t>
      </w:r>
    </w:p>
    <w:p>
      <w:pPr>
        <w:spacing w:line="470" w:lineRule="exact"/>
        <w:ind w:firstLine="480" w:firstLineChars="200"/>
        <w:rPr>
          <w:sz w:val="24"/>
        </w:rPr>
      </w:pPr>
      <w:r>
        <w:rPr>
          <w:sz w:val="24"/>
        </w:rPr>
        <w:t>a、监测时段自2023年1月开始，直至修复期结束，地质灾害监测频率为每半月监测一次，台风、雨季或暴雨时应加强监测工作；</w:t>
      </w:r>
    </w:p>
    <w:p>
      <w:pPr>
        <w:spacing w:line="470" w:lineRule="exact"/>
        <w:ind w:firstLine="480" w:firstLineChars="200"/>
        <w:rPr>
          <w:sz w:val="24"/>
        </w:rPr>
      </w:pPr>
      <w:r>
        <w:rPr>
          <w:sz w:val="24"/>
        </w:rPr>
        <w:t>b、斜坡稳定性监测：非汛期（每年9月～次年3月）每月监测1次，汛期（每年4～8月）每周监测1次，雨季尤其是持续降雨或大暴雨时每天或雨后一次加密巡视观测。</w:t>
      </w:r>
      <w:r>
        <w:rPr>
          <w:rFonts w:hint="eastAsia"/>
          <w:sz w:val="24"/>
        </w:rPr>
        <w:t>监测工程量及进度安排见表4-13。</w:t>
      </w:r>
    </w:p>
    <w:p>
      <w:pPr>
        <w:spacing w:line="470" w:lineRule="exact"/>
        <w:ind w:firstLine="480" w:firstLineChars="200"/>
        <w:jc w:val="center"/>
        <w:rPr>
          <w:sz w:val="24"/>
        </w:rPr>
      </w:pPr>
      <w:r>
        <w:rPr>
          <w:sz w:val="24"/>
        </w:rPr>
        <w:t>表4-1</w:t>
      </w:r>
      <w:r>
        <w:rPr>
          <w:rFonts w:hint="eastAsia"/>
          <w:sz w:val="24"/>
        </w:rPr>
        <w:t>3</w:t>
      </w:r>
      <w:r>
        <w:rPr>
          <w:sz w:val="24"/>
        </w:rPr>
        <w:t xml:space="preserve">    崩塌、滑坡及地面变形地质灾害监测工程量及进度安排表</w:t>
      </w:r>
    </w:p>
    <w:tbl>
      <w:tblPr>
        <w:tblStyle w:val="34"/>
        <w:tblW w:w="8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110"/>
        <w:gridCol w:w="2970"/>
        <w:gridCol w:w="960"/>
        <w:gridCol w:w="963"/>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166"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工程项目</w:t>
            </w:r>
          </w:p>
        </w:tc>
        <w:tc>
          <w:tcPr>
            <w:tcW w:w="4080" w:type="dxa"/>
            <w:gridSpan w:val="2"/>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工 程 名 程</w:t>
            </w:r>
          </w:p>
        </w:tc>
        <w:tc>
          <w:tcPr>
            <w:tcW w:w="960"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单 位</w:t>
            </w: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工程量</w:t>
            </w:r>
          </w:p>
        </w:tc>
        <w:tc>
          <w:tcPr>
            <w:tcW w:w="1719"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进 度 安 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exact"/>
          <w:jc w:val="center"/>
        </w:trPr>
        <w:tc>
          <w:tcPr>
            <w:tcW w:w="1166" w:type="dxa"/>
            <w:vMerge w:val="restart"/>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地质灾</w:t>
            </w:r>
          </w:p>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害监测</w:t>
            </w:r>
          </w:p>
        </w:tc>
        <w:tc>
          <w:tcPr>
            <w:tcW w:w="1110" w:type="dxa"/>
            <w:vMerge w:val="restart"/>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Lc1露采场</w:t>
            </w:r>
          </w:p>
        </w:tc>
        <w:tc>
          <w:tcPr>
            <w:tcW w:w="2970" w:type="dxa"/>
            <w:shd w:val="clear" w:color="auto" w:fill="auto"/>
          </w:tcPr>
          <w:p>
            <w:pPr>
              <w:pStyle w:val="8"/>
              <w:adjustRightInd w:val="0"/>
              <w:snapToGrid w:val="0"/>
              <w:spacing w:line="360" w:lineRule="auto"/>
              <w:ind w:left="0"/>
              <w:rPr>
                <w:rFonts w:ascii="宋体" w:hAnsi="宋体" w:cs="宋体"/>
                <w:sz w:val="21"/>
                <w:szCs w:val="21"/>
              </w:rPr>
            </w:pPr>
            <w:r>
              <w:rPr>
                <w:rFonts w:hint="eastAsia" w:ascii="宋体" w:hAnsi="宋体" w:cs="宋体"/>
                <w:sz w:val="21"/>
                <w:szCs w:val="21"/>
              </w:rPr>
              <w:t>1、崩塌、滑坡地质灾害监测工程</w:t>
            </w:r>
          </w:p>
        </w:tc>
        <w:tc>
          <w:tcPr>
            <w:tcW w:w="960" w:type="dxa"/>
            <w:shd w:val="clear" w:color="auto" w:fill="auto"/>
          </w:tcPr>
          <w:p>
            <w:pPr>
              <w:pStyle w:val="8"/>
              <w:adjustRightInd w:val="0"/>
              <w:snapToGrid w:val="0"/>
              <w:spacing w:line="360" w:lineRule="auto"/>
              <w:ind w:left="0"/>
              <w:jc w:val="center"/>
              <w:rPr>
                <w:rFonts w:ascii="宋体" w:hAnsi="宋体" w:cs="宋体"/>
                <w:sz w:val="21"/>
                <w:szCs w:val="21"/>
              </w:rPr>
            </w:pP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1719" w:type="dxa"/>
            <w:vMerge w:val="restart"/>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2023年3月～ 2032年12月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166"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2970" w:type="dxa"/>
            <w:shd w:val="clear" w:color="auto" w:fill="auto"/>
          </w:tcPr>
          <w:p>
            <w:pPr>
              <w:pStyle w:val="8"/>
              <w:adjustRightInd w:val="0"/>
              <w:snapToGrid w:val="0"/>
              <w:spacing w:line="360" w:lineRule="auto"/>
              <w:ind w:left="0"/>
              <w:rPr>
                <w:rFonts w:ascii="宋体" w:hAnsi="宋体" w:cs="宋体"/>
                <w:sz w:val="21"/>
                <w:szCs w:val="21"/>
              </w:rPr>
            </w:pPr>
            <w:r>
              <w:rPr>
                <w:rFonts w:hint="eastAsia" w:ascii="宋体" w:hAnsi="宋体" w:cs="宋体"/>
                <w:sz w:val="21"/>
                <w:szCs w:val="21"/>
              </w:rPr>
              <w:t>1）监测点</w:t>
            </w:r>
          </w:p>
        </w:tc>
        <w:tc>
          <w:tcPr>
            <w:tcW w:w="960" w:type="dxa"/>
            <w:shd w:val="clear" w:color="auto" w:fill="auto"/>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个</w:t>
            </w: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7</w:t>
            </w:r>
          </w:p>
        </w:tc>
        <w:tc>
          <w:tcPr>
            <w:tcW w:w="1719"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166"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2970" w:type="dxa"/>
            <w:shd w:val="clear" w:color="auto" w:fill="auto"/>
            <w:vAlign w:val="center"/>
          </w:tcPr>
          <w:p>
            <w:pPr>
              <w:pStyle w:val="8"/>
              <w:adjustRightInd w:val="0"/>
              <w:snapToGrid w:val="0"/>
              <w:spacing w:line="360" w:lineRule="auto"/>
              <w:ind w:left="0"/>
              <w:rPr>
                <w:rFonts w:ascii="宋体" w:hAnsi="宋体" w:cs="宋体"/>
                <w:sz w:val="21"/>
                <w:szCs w:val="21"/>
              </w:rPr>
            </w:pPr>
            <w:r>
              <w:rPr>
                <w:rFonts w:hint="eastAsia" w:ascii="宋体" w:hAnsi="宋体" w:cs="宋体"/>
                <w:sz w:val="21"/>
                <w:szCs w:val="21"/>
              </w:rPr>
              <w:t>2）监测时间</w:t>
            </w:r>
          </w:p>
        </w:tc>
        <w:tc>
          <w:tcPr>
            <w:tcW w:w="960"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a</w:t>
            </w: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7.7</w:t>
            </w:r>
          </w:p>
        </w:tc>
        <w:tc>
          <w:tcPr>
            <w:tcW w:w="1719"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166"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2970" w:type="dxa"/>
            <w:shd w:val="clear" w:color="auto" w:fill="auto"/>
            <w:vAlign w:val="center"/>
          </w:tcPr>
          <w:p>
            <w:pPr>
              <w:pStyle w:val="8"/>
              <w:adjustRightInd w:val="0"/>
              <w:snapToGrid w:val="0"/>
              <w:spacing w:line="360" w:lineRule="auto"/>
              <w:ind w:left="0"/>
              <w:rPr>
                <w:rFonts w:ascii="宋体" w:hAnsi="宋体" w:cs="宋体"/>
                <w:sz w:val="21"/>
                <w:szCs w:val="21"/>
              </w:rPr>
            </w:pPr>
            <w:r>
              <w:rPr>
                <w:rFonts w:hint="eastAsia" w:ascii="宋体" w:hAnsi="宋体" w:cs="宋体"/>
                <w:sz w:val="21"/>
                <w:szCs w:val="21"/>
              </w:rPr>
              <w:t>3）监测测量</w:t>
            </w:r>
          </w:p>
        </w:tc>
        <w:tc>
          <w:tcPr>
            <w:tcW w:w="960"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次</w:t>
            </w: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812</w:t>
            </w:r>
          </w:p>
        </w:tc>
        <w:tc>
          <w:tcPr>
            <w:tcW w:w="1719"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166"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2970" w:type="dxa"/>
            <w:shd w:val="clear" w:color="auto" w:fill="auto"/>
            <w:vAlign w:val="center"/>
          </w:tcPr>
          <w:p>
            <w:pPr>
              <w:pStyle w:val="8"/>
              <w:adjustRightInd w:val="0"/>
              <w:snapToGrid w:val="0"/>
              <w:spacing w:line="360" w:lineRule="auto"/>
              <w:ind w:left="0"/>
              <w:rPr>
                <w:rFonts w:ascii="宋体" w:hAnsi="宋体" w:cs="宋体"/>
                <w:sz w:val="21"/>
                <w:szCs w:val="21"/>
              </w:rPr>
            </w:pPr>
            <w:r>
              <w:rPr>
                <w:rFonts w:hint="eastAsia" w:ascii="宋体" w:hAnsi="宋体" w:cs="宋体"/>
                <w:sz w:val="21"/>
                <w:szCs w:val="21"/>
              </w:rPr>
              <w:t>4）监测工班</w:t>
            </w:r>
          </w:p>
        </w:tc>
        <w:tc>
          <w:tcPr>
            <w:tcW w:w="960"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班</w:t>
            </w:r>
          </w:p>
        </w:tc>
        <w:tc>
          <w:tcPr>
            <w:tcW w:w="963" w:type="dxa"/>
            <w:shd w:val="clear" w:color="auto" w:fill="auto"/>
            <w:vAlign w:val="center"/>
          </w:tcPr>
          <w:p>
            <w:pPr>
              <w:pStyle w:val="8"/>
              <w:adjustRightInd w:val="0"/>
              <w:snapToGrid w:val="0"/>
              <w:spacing w:line="360" w:lineRule="auto"/>
              <w:ind w:left="0"/>
              <w:jc w:val="center"/>
              <w:rPr>
                <w:rFonts w:ascii="宋体" w:hAnsi="宋体" w:cs="宋体"/>
                <w:sz w:val="21"/>
                <w:szCs w:val="21"/>
              </w:rPr>
            </w:pPr>
            <w:r>
              <w:rPr>
                <w:rFonts w:hint="eastAsia" w:ascii="宋体" w:hAnsi="宋体" w:cs="宋体"/>
                <w:sz w:val="21"/>
                <w:szCs w:val="21"/>
              </w:rPr>
              <w:t>116</w:t>
            </w:r>
          </w:p>
        </w:tc>
        <w:tc>
          <w:tcPr>
            <w:tcW w:w="1719"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1166" w:type="dxa"/>
            <w:vMerge w:val="continue"/>
            <w:shd w:val="clear" w:color="auto" w:fill="auto"/>
            <w:vAlign w:val="center"/>
          </w:tcPr>
          <w:p>
            <w:pPr>
              <w:pStyle w:val="8"/>
              <w:adjustRightInd w:val="0"/>
              <w:snapToGrid w:val="0"/>
              <w:spacing w:line="360" w:lineRule="auto"/>
              <w:ind w:left="0"/>
              <w:jc w:val="center"/>
              <w:rPr>
                <w:rFonts w:ascii="宋体" w:hAnsi="宋体" w:cs="宋体"/>
                <w:sz w:val="21"/>
                <w:szCs w:val="21"/>
              </w:rPr>
            </w:pPr>
          </w:p>
        </w:tc>
        <w:tc>
          <w:tcPr>
            <w:tcW w:w="7722" w:type="dxa"/>
            <w:gridSpan w:val="5"/>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注：表中监测频率系为估算投资而一般设置，矿山可根据开采情况加密观测（包括巡查、矿群联查工程），在汛期、雨季加密巡查次数。</w:t>
            </w:r>
          </w:p>
        </w:tc>
      </w:tr>
    </w:tbl>
    <w:p>
      <w:pPr>
        <w:spacing w:line="470" w:lineRule="exact"/>
        <w:ind w:firstLine="480" w:firstLineChars="200"/>
        <w:rPr>
          <w:sz w:val="24"/>
        </w:rPr>
      </w:pPr>
    </w:p>
    <w:p>
      <w:pPr>
        <w:spacing w:line="470" w:lineRule="exact"/>
        <w:ind w:firstLine="480" w:firstLineChars="200"/>
        <w:rPr>
          <w:sz w:val="24"/>
        </w:rPr>
      </w:pPr>
      <w:r>
        <w:rPr>
          <w:sz w:val="24"/>
        </w:rPr>
        <w:t>2、水环境监测工程及进度安排</w:t>
      </w:r>
    </w:p>
    <w:p>
      <w:pPr>
        <w:spacing w:line="470" w:lineRule="exact"/>
        <w:ind w:firstLine="480" w:firstLineChars="200"/>
        <w:rPr>
          <w:sz w:val="24"/>
        </w:rPr>
      </w:pPr>
      <w:r>
        <w:rPr>
          <w:sz w:val="24"/>
        </w:rPr>
        <w:t>（1）设计内容：根据《地表水和污水监测技术规范》（HJ/T91—2002 2003.1.1），方案对矿区水环境质量进行常规监测，以掌握地表水、地下水水质发展趋势。</w:t>
      </w:r>
    </w:p>
    <w:p>
      <w:pPr>
        <w:spacing w:line="470" w:lineRule="exact"/>
        <w:ind w:firstLine="480" w:firstLineChars="200"/>
        <w:rPr>
          <w:sz w:val="24"/>
        </w:rPr>
      </w:pPr>
      <w:r>
        <w:rPr>
          <w:sz w:val="24"/>
        </w:rPr>
        <w:t>（2）监测点设置：设计在沉淀池废</w:t>
      </w:r>
      <w:r>
        <w:rPr>
          <w:spacing w:val="-6"/>
          <w:sz w:val="24"/>
        </w:rPr>
        <w:t>水出口</w:t>
      </w:r>
      <w:r>
        <w:rPr>
          <w:sz w:val="24"/>
        </w:rPr>
        <w:t>设水质监测点2个，并每个季度采水样进行检测。</w:t>
      </w:r>
      <w:r>
        <w:rPr>
          <w:spacing w:val="-6"/>
          <w:sz w:val="24"/>
        </w:rPr>
        <w:t>沉淀池出口</w:t>
      </w:r>
      <w:r>
        <w:rPr>
          <w:sz w:val="24"/>
        </w:rPr>
        <w:t>监测期为7.7年，外排水质监测应延长1.0年，监测8.7×1×4=40组；水质监测共计35组。</w:t>
      </w:r>
    </w:p>
    <w:p>
      <w:pPr>
        <w:spacing w:line="470" w:lineRule="exact"/>
        <w:ind w:firstLine="480"/>
        <w:rPr>
          <w:sz w:val="24"/>
        </w:rPr>
      </w:pPr>
      <w:r>
        <w:rPr>
          <w:sz w:val="24"/>
        </w:rPr>
        <w:t>（3）监测频率：每个季度采水样进行检测，枯水期可适当增加一次监测，经监测发现排放水、地表水水质超标时，应加密至每日一次。</w:t>
      </w:r>
    </w:p>
    <w:p>
      <w:pPr>
        <w:spacing w:line="470" w:lineRule="exact"/>
        <w:ind w:firstLine="480" w:firstLineChars="200"/>
        <w:rPr>
          <w:sz w:val="24"/>
        </w:rPr>
      </w:pPr>
      <w:r>
        <w:rPr>
          <w:sz w:val="24"/>
        </w:rPr>
        <w:t>（4）监测项目：每季度抽送一次到当地环境监测局进行水质简分析检验；矿坑水监测因子按《地表水环境质量标准》（GB3838-2002）中Ⅲ级标准执行，地下水按《地下水质量标准》（GB14848-2017）中的Ⅲ类标准，项目以PH值、COD、氨氮、SS、BOD</w:t>
      </w:r>
      <w:r>
        <w:rPr>
          <w:sz w:val="24"/>
          <w:vertAlign w:val="subscript"/>
        </w:rPr>
        <w:t>5</w:t>
      </w:r>
      <w:r>
        <w:rPr>
          <w:sz w:val="24"/>
        </w:rPr>
        <w:t>、Vocs、砷、Cr、石油类及粪便污物为主。</w:t>
      </w:r>
    </w:p>
    <w:p>
      <w:pPr>
        <w:pStyle w:val="95"/>
        <w:numPr>
          <w:ilvl w:val="255"/>
          <w:numId w:val="0"/>
        </w:numPr>
        <w:spacing w:line="470" w:lineRule="exact"/>
        <w:ind w:left="480" w:firstLine="480" w:firstLineChars="200"/>
        <w:rPr>
          <w:sz w:val="24"/>
        </w:rPr>
      </w:pPr>
      <w:r>
        <w:rPr>
          <w:sz w:val="24"/>
        </w:rPr>
        <w:t>（5）工程量测算及进度安排：见表4-1</w:t>
      </w:r>
      <w:r>
        <w:rPr>
          <w:rFonts w:hint="eastAsia"/>
          <w:sz w:val="24"/>
        </w:rPr>
        <w:t>4</w:t>
      </w:r>
      <w:r>
        <w:rPr>
          <w:sz w:val="24"/>
        </w:rPr>
        <w:t>。</w:t>
      </w:r>
    </w:p>
    <w:p>
      <w:pPr>
        <w:spacing w:line="470" w:lineRule="exact"/>
        <w:ind w:firstLine="480"/>
        <w:jc w:val="center"/>
        <w:rPr>
          <w:sz w:val="24"/>
        </w:rPr>
      </w:pPr>
      <w:r>
        <w:rPr>
          <w:sz w:val="24"/>
        </w:rPr>
        <w:t>表4-1</w:t>
      </w:r>
      <w:r>
        <w:rPr>
          <w:rFonts w:hint="eastAsia"/>
          <w:sz w:val="24"/>
        </w:rPr>
        <w:t>4</w:t>
      </w:r>
      <w:r>
        <w:rPr>
          <w:sz w:val="24"/>
        </w:rPr>
        <w:t xml:space="preserve">   采场排水水质监测工程量及进度安排表</w:t>
      </w:r>
    </w:p>
    <w:tbl>
      <w:tblPr>
        <w:tblStyle w:val="34"/>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2694"/>
        <w:gridCol w:w="701"/>
        <w:gridCol w:w="1106"/>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工程项目</w:t>
            </w:r>
          </w:p>
        </w:tc>
        <w:tc>
          <w:tcPr>
            <w:tcW w:w="4253" w:type="dxa"/>
            <w:gridSpan w:val="2"/>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 程 名 程</w:t>
            </w:r>
          </w:p>
        </w:tc>
        <w:tc>
          <w:tcPr>
            <w:tcW w:w="701"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单位</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工程量</w:t>
            </w:r>
          </w:p>
        </w:tc>
        <w:tc>
          <w:tcPr>
            <w:tcW w:w="1595"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进 度 安 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水环境监测</w:t>
            </w:r>
          </w:p>
        </w:tc>
        <w:tc>
          <w:tcPr>
            <w:tcW w:w="1559"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沉淀池出口</w:t>
            </w:r>
          </w:p>
        </w:tc>
        <w:tc>
          <w:tcPr>
            <w:tcW w:w="2694" w:type="dxa"/>
            <w:shd w:val="clear" w:color="auto" w:fill="auto"/>
          </w:tcPr>
          <w:p>
            <w:pPr>
              <w:pStyle w:val="8"/>
              <w:ind w:left="0"/>
              <w:rPr>
                <w:rFonts w:ascii="宋体" w:hAnsi="宋体" w:cs="宋体"/>
                <w:sz w:val="21"/>
                <w:szCs w:val="21"/>
              </w:rPr>
            </w:pPr>
            <w:r>
              <w:rPr>
                <w:rFonts w:hint="eastAsia" w:ascii="宋体" w:hAnsi="宋体" w:cs="宋体"/>
                <w:sz w:val="21"/>
                <w:szCs w:val="21"/>
              </w:rPr>
              <w:t>1、地表水质监测工程</w:t>
            </w:r>
          </w:p>
        </w:tc>
        <w:tc>
          <w:tcPr>
            <w:tcW w:w="701" w:type="dxa"/>
            <w:shd w:val="clear" w:color="auto" w:fill="auto"/>
          </w:tcPr>
          <w:p>
            <w:pPr>
              <w:pStyle w:val="8"/>
              <w:ind w:left="0"/>
              <w:jc w:val="center"/>
              <w:rPr>
                <w:rFonts w:ascii="宋体" w:hAnsi="宋体" w:cs="宋体"/>
                <w:sz w:val="21"/>
                <w:szCs w:val="21"/>
              </w:rPr>
            </w:pPr>
          </w:p>
        </w:tc>
        <w:tc>
          <w:tcPr>
            <w:tcW w:w="1106" w:type="dxa"/>
            <w:shd w:val="clear" w:color="auto" w:fill="auto"/>
            <w:vAlign w:val="center"/>
          </w:tcPr>
          <w:p>
            <w:pPr>
              <w:pStyle w:val="8"/>
              <w:ind w:left="0"/>
              <w:jc w:val="center"/>
              <w:rPr>
                <w:rFonts w:ascii="宋体" w:hAnsi="宋体" w:cs="宋体"/>
                <w:sz w:val="21"/>
                <w:szCs w:val="21"/>
              </w:rPr>
            </w:pPr>
          </w:p>
        </w:tc>
        <w:tc>
          <w:tcPr>
            <w:tcW w:w="1595"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2023年3月</w:t>
            </w:r>
          </w:p>
          <w:p>
            <w:pPr>
              <w:pStyle w:val="8"/>
              <w:ind w:left="0"/>
              <w:jc w:val="center"/>
              <w:rPr>
                <w:rFonts w:ascii="宋体" w:hAnsi="宋体" w:cs="宋体"/>
                <w:sz w:val="21"/>
                <w:szCs w:val="21"/>
              </w:rPr>
            </w:pPr>
            <w:r>
              <w:rPr>
                <w:rFonts w:hint="eastAsia" w:ascii="宋体" w:hAnsi="宋体" w:cs="宋体"/>
                <w:sz w:val="21"/>
                <w:szCs w:val="21"/>
              </w:rPr>
              <w:t>～2032年12月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tcPr>
          <w:p>
            <w:pPr>
              <w:pStyle w:val="8"/>
              <w:ind w:left="0"/>
              <w:rPr>
                <w:rFonts w:ascii="宋体" w:hAnsi="宋体" w:cs="宋体"/>
                <w:sz w:val="21"/>
                <w:szCs w:val="21"/>
              </w:rPr>
            </w:pPr>
            <w:r>
              <w:rPr>
                <w:rFonts w:hint="eastAsia" w:ascii="宋体" w:hAnsi="宋体" w:cs="宋体"/>
                <w:sz w:val="21"/>
                <w:szCs w:val="21"/>
              </w:rPr>
              <w:t>1）监测点</w:t>
            </w:r>
          </w:p>
        </w:tc>
        <w:tc>
          <w:tcPr>
            <w:tcW w:w="701" w:type="dxa"/>
            <w:shd w:val="clear" w:color="auto" w:fill="auto"/>
          </w:tcPr>
          <w:p>
            <w:pPr>
              <w:pStyle w:val="8"/>
              <w:ind w:left="0"/>
              <w:jc w:val="center"/>
              <w:rPr>
                <w:rFonts w:ascii="宋体" w:hAnsi="宋体" w:cs="宋体"/>
                <w:sz w:val="21"/>
                <w:szCs w:val="21"/>
              </w:rPr>
            </w:pPr>
            <w:r>
              <w:rPr>
                <w:rFonts w:hint="eastAsia" w:ascii="宋体" w:hAnsi="宋体" w:cs="宋体"/>
                <w:sz w:val="21"/>
                <w:szCs w:val="21"/>
              </w:rPr>
              <w:t>处</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2</w:t>
            </w:r>
          </w:p>
        </w:tc>
        <w:tc>
          <w:tcPr>
            <w:tcW w:w="1595" w:type="dxa"/>
            <w:vMerge w:val="continue"/>
            <w:shd w:val="clear" w:color="auto" w:fill="auto"/>
            <w:vAlign w:val="center"/>
          </w:tcPr>
          <w:p>
            <w:pPr>
              <w:pStyle w:val="8"/>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2）监测时间</w:t>
            </w:r>
          </w:p>
        </w:tc>
        <w:tc>
          <w:tcPr>
            <w:tcW w:w="70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a</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7.7+1.0</w:t>
            </w:r>
          </w:p>
        </w:tc>
        <w:tc>
          <w:tcPr>
            <w:tcW w:w="1595" w:type="dxa"/>
            <w:vMerge w:val="continue"/>
            <w:shd w:val="clear" w:color="auto" w:fill="auto"/>
            <w:vAlign w:val="center"/>
          </w:tcPr>
          <w:p>
            <w:pPr>
              <w:pStyle w:val="8"/>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3）分析化验</w:t>
            </w:r>
          </w:p>
        </w:tc>
        <w:tc>
          <w:tcPr>
            <w:tcW w:w="70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组</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35</w:t>
            </w:r>
          </w:p>
        </w:tc>
        <w:tc>
          <w:tcPr>
            <w:tcW w:w="1595" w:type="dxa"/>
            <w:vMerge w:val="continue"/>
            <w:shd w:val="clear" w:color="auto" w:fill="auto"/>
            <w:vAlign w:val="center"/>
          </w:tcPr>
          <w:p>
            <w:pPr>
              <w:pStyle w:val="8"/>
              <w:ind w:left="0"/>
              <w:jc w:val="center"/>
              <w:rPr>
                <w:rFonts w:ascii="宋体" w:hAnsi="宋体" w:cs="宋体"/>
                <w:sz w:val="21"/>
                <w:szCs w:val="21"/>
              </w:rPr>
            </w:pPr>
          </w:p>
        </w:tc>
      </w:tr>
    </w:tbl>
    <w:p>
      <w:pPr>
        <w:adjustRightInd w:val="0"/>
        <w:snapToGrid w:val="0"/>
        <w:spacing w:line="360" w:lineRule="auto"/>
        <w:ind w:firstLine="480" w:firstLineChars="200"/>
        <w:outlineLvl w:val="3"/>
        <w:rPr>
          <w:sz w:val="24"/>
        </w:rPr>
      </w:pPr>
      <w:r>
        <w:rPr>
          <w:sz w:val="24"/>
        </w:rPr>
        <w:t>3、土壤环境监测及进度安排</w:t>
      </w:r>
    </w:p>
    <w:p>
      <w:pPr>
        <w:spacing w:line="470" w:lineRule="exact"/>
        <w:ind w:firstLine="480" w:firstLineChars="200"/>
        <w:rPr>
          <w:sz w:val="24"/>
        </w:rPr>
      </w:pPr>
      <w:r>
        <w:rPr>
          <w:rFonts w:hint="eastAsia" w:ascii="宋体" w:hAnsi="宋体" w:cs="宋体"/>
          <w:sz w:val="24"/>
        </w:rPr>
        <w:t>①</w:t>
      </w:r>
      <w:r>
        <w:rPr>
          <w:sz w:val="24"/>
        </w:rPr>
        <w:t>设计内容：根据《矿山地质环境监测技术规程》（DZ/T 0287-2015），方案对矿区周边耕地土壤环境质量进行常规监测，以掌握土壤环境质量发展趋势。</w:t>
      </w:r>
    </w:p>
    <w:p>
      <w:pPr>
        <w:spacing w:line="470" w:lineRule="exact"/>
        <w:ind w:firstLine="480"/>
        <w:rPr>
          <w:sz w:val="24"/>
        </w:rPr>
      </w:pPr>
      <w:r>
        <w:rPr>
          <w:rFonts w:hint="eastAsia" w:ascii="宋体" w:hAnsi="宋体" w:cs="宋体"/>
          <w:sz w:val="24"/>
        </w:rPr>
        <w:t>②</w:t>
      </w:r>
      <w:r>
        <w:rPr>
          <w:sz w:val="24"/>
        </w:rPr>
        <w:t>监测点设置：设计在</w:t>
      </w:r>
      <w:r>
        <w:rPr>
          <w:spacing w:val="-6"/>
          <w:sz w:val="24"/>
        </w:rPr>
        <w:t>沉淀池下方沟谷旱地</w:t>
      </w:r>
      <w:r>
        <w:rPr>
          <w:sz w:val="24"/>
        </w:rPr>
        <w:t>设土壤环境监测点1个，并每半年采土样进行检测。</w:t>
      </w:r>
      <w:r>
        <w:rPr>
          <w:spacing w:val="-6"/>
          <w:sz w:val="24"/>
        </w:rPr>
        <w:t>周边土壤</w:t>
      </w:r>
      <w:r>
        <w:rPr>
          <w:sz w:val="24"/>
        </w:rPr>
        <w:t>监测期为7.7年，根据外排采坑水，土壤监测应延长1.0年，土壤监测8.7×1×2=18组</w:t>
      </w:r>
      <w:r>
        <w:rPr>
          <w:rFonts w:hint="eastAsia"/>
          <w:sz w:val="24"/>
        </w:rPr>
        <w:t>（表4-15）</w:t>
      </w:r>
      <w:r>
        <w:rPr>
          <w:sz w:val="24"/>
        </w:rPr>
        <w:t>。</w:t>
      </w:r>
    </w:p>
    <w:p>
      <w:pPr>
        <w:spacing w:line="470" w:lineRule="exact"/>
        <w:ind w:firstLine="480"/>
        <w:rPr>
          <w:sz w:val="24"/>
        </w:rPr>
      </w:pPr>
      <w:r>
        <w:rPr>
          <w:rFonts w:hint="eastAsia" w:ascii="宋体" w:hAnsi="宋体" w:cs="宋体"/>
          <w:sz w:val="24"/>
        </w:rPr>
        <w:t>③</w:t>
      </w:r>
      <w:r>
        <w:rPr>
          <w:sz w:val="24"/>
        </w:rPr>
        <w:t>监测频率：每半年采土样进行检测，闭坑前可适当增加一次监测，经监测发现排放水、土壤因子超标时，应加密至每月一次。</w:t>
      </w:r>
    </w:p>
    <w:p>
      <w:pPr>
        <w:spacing w:line="470" w:lineRule="exact"/>
        <w:ind w:firstLine="480" w:firstLineChars="200"/>
      </w:pPr>
      <w:r>
        <w:rPr>
          <w:rFonts w:hint="eastAsia" w:ascii="宋体" w:hAnsi="宋体" w:cs="宋体"/>
          <w:sz w:val="24"/>
        </w:rPr>
        <w:t>④</w:t>
      </w:r>
      <w:r>
        <w:rPr>
          <w:sz w:val="24"/>
        </w:rPr>
        <w:t>监测项目：每半年采样抽送一次到第三方检测机构进行土壤质量检验；土壤监测因子按《土壤环境质量 农用地土壤污染风险管控标准（试行）》（GB15618-2018）中耕地标准执行，项目以PH值氨氮、镉、汞、砷、铅、铬、铜、镍、锌为主。</w:t>
      </w:r>
    </w:p>
    <w:p>
      <w:pPr>
        <w:spacing w:line="470" w:lineRule="exact"/>
        <w:ind w:firstLine="480" w:firstLineChars="200"/>
        <w:jc w:val="center"/>
        <w:rPr>
          <w:rFonts w:ascii="宋体" w:hAnsi="宋体" w:cs="宋体"/>
          <w:sz w:val="24"/>
        </w:rPr>
      </w:pPr>
      <w:r>
        <w:rPr>
          <w:rFonts w:hint="eastAsia" w:ascii="宋体" w:hAnsi="宋体" w:cs="宋体"/>
          <w:sz w:val="24"/>
        </w:rPr>
        <w:t>表4-15    采场排水水质监测工程量及进度安排表</w:t>
      </w:r>
    </w:p>
    <w:tbl>
      <w:tblPr>
        <w:tblStyle w:val="34"/>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2694"/>
        <w:gridCol w:w="701"/>
        <w:gridCol w:w="1106"/>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127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工程项目</w:t>
            </w:r>
          </w:p>
        </w:tc>
        <w:tc>
          <w:tcPr>
            <w:tcW w:w="4253" w:type="dxa"/>
            <w:gridSpan w:val="2"/>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 程 名 程</w:t>
            </w:r>
          </w:p>
        </w:tc>
        <w:tc>
          <w:tcPr>
            <w:tcW w:w="701"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单位</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工程量</w:t>
            </w:r>
          </w:p>
        </w:tc>
        <w:tc>
          <w:tcPr>
            <w:tcW w:w="1595"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进 度 安 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土壤环境监测</w:t>
            </w:r>
          </w:p>
        </w:tc>
        <w:tc>
          <w:tcPr>
            <w:tcW w:w="1559"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排水沟下方旱地</w:t>
            </w:r>
          </w:p>
        </w:tc>
        <w:tc>
          <w:tcPr>
            <w:tcW w:w="2694" w:type="dxa"/>
            <w:shd w:val="clear" w:color="auto" w:fill="auto"/>
          </w:tcPr>
          <w:p>
            <w:pPr>
              <w:pStyle w:val="8"/>
              <w:ind w:left="0"/>
              <w:rPr>
                <w:rFonts w:ascii="宋体" w:hAnsi="宋体" w:cs="宋体"/>
                <w:sz w:val="21"/>
                <w:szCs w:val="21"/>
              </w:rPr>
            </w:pPr>
            <w:r>
              <w:rPr>
                <w:rFonts w:hint="eastAsia" w:ascii="宋体" w:hAnsi="宋体" w:cs="宋体"/>
                <w:sz w:val="21"/>
                <w:szCs w:val="21"/>
              </w:rPr>
              <w:t>1、土壤环境监测工程</w:t>
            </w:r>
          </w:p>
        </w:tc>
        <w:tc>
          <w:tcPr>
            <w:tcW w:w="701" w:type="dxa"/>
            <w:shd w:val="clear" w:color="auto" w:fill="auto"/>
          </w:tcPr>
          <w:p>
            <w:pPr>
              <w:pStyle w:val="8"/>
              <w:ind w:left="0"/>
              <w:jc w:val="center"/>
              <w:rPr>
                <w:rFonts w:ascii="宋体" w:hAnsi="宋体" w:cs="宋体"/>
                <w:sz w:val="21"/>
                <w:szCs w:val="21"/>
              </w:rPr>
            </w:pPr>
          </w:p>
        </w:tc>
        <w:tc>
          <w:tcPr>
            <w:tcW w:w="1106" w:type="dxa"/>
            <w:shd w:val="clear" w:color="auto" w:fill="auto"/>
            <w:vAlign w:val="center"/>
          </w:tcPr>
          <w:p>
            <w:pPr>
              <w:pStyle w:val="8"/>
              <w:ind w:left="0"/>
              <w:jc w:val="center"/>
              <w:rPr>
                <w:rFonts w:ascii="宋体" w:hAnsi="宋体" w:cs="宋体"/>
                <w:sz w:val="21"/>
                <w:szCs w:val="21"/>
              </w:rPr>
            </w:pPr>
          </w:p>
        </w:tc>
        <w:tc>
          <w:tcPr>
            <w:tcW w:w="1595" w:type="dxa"/>
            <w:vMerge w:val="restart"/>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2023年3月</w:t>
            </w:r>
          </w:p>
          <w:p>
            <w:pPr>
              <w:pStyle w:val="8"/>
              <w:ind w:left="0"/>
              <w:jc w:val="center"/>
              <w:rPr>
                <w:rFonts w:ascii="宋体" w:hAnsi="宋体" w:cs="宋体"/>
                <w:sz w:val="21"/>
                <w:szCs w:val="21"/>
              </w:rPr>
            </w:pPr>
            <w:r>
              <w:rPr>
                <w:rFonts w:hint="eastAsia" w:ascii="宋体" w:hAnsi="宋体" w:cs="宋体"/>
                <w:sz w:val="21"/>
                <w:szCs w:val="21"/>
              </w:rPr>
              <w:t>～2031年12月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tcPr>
          <w:p>
            <w:pPr>
              <w:pStyle w:val="8"/>
              <w:ind w:left="0"/>
              <w:rPr>
                <w:rFonts w:ascii="宋体" w:hAnsi="宋体" w:cs="宋体"/>
                <w:sz w:val="21"/>
                <w:szCs w:val="21"/>
              </w:rPr>
            </w:pPr>
            <w:r>
              <w:rPr>
                <w:rFonts w:hint="eastAsia" w:ascii="宋体" w:hAnsi="宋体" w:cs="宋体"/>
                <w:sz w:val="21"/>
                <w:szCs w:val="21"/>
              </w:rPr>
              <w:t>1）监测点</w:t>
            </w:r>
          </w:p>
        </w:tc>
        <w:tc>
          <w:tcPr>
            <w:tcW w:w="701" w:type="dxa"/>
            <w:shd w:val="clear" w:color="auto" w:fill="auto"/>
          </w:tcPr>
          <w:p>
            <w:pPr>
              <w:pStyle w:val="8"/>
              <w:ind w:left="0"/>
              <w:jc w:val="center"/>
              <w:rPr>
                <w:rFonts w:ascii="宋体" w:hAnsi="宋体" w:cs="宋体"/>
                <w:sz w:val="21"/>
                <w:szCs w:val="21"/>
              </w:rPr>
            </w:pPr>
            <w:r>
              <w:rPr>
                <w:rFonts w:hint="eastAsia" w:ascii="宋体" w:hAnsi="宋体" w:cs="宋体"/>
                <w:sz w:val="21"/>
                <w:szCs w:val="21"/>
              </w:rPr>
              <w:t>处</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1</w:t>
            </w:r>
          </w:p>
        </w:tc>
        <w:tc>
          <w:tcPr>
            <w:tcW w:w="1595" w:type="dxa"/>
            <w:vMerge w:val="continue"/>
            <w:shd w:val="clear" w:color="auto" w:fill="auto"/>
            <w:vAlign w:val="center"/>
          </w:tcPr>
          <w:p>
            <w:pPr>
              <w:pStyle w:val="8"/>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2）监测时间</w:t>
            </w:r>
          </w:p>
        </w:tc>
        <w:tc>
          <w:tcPr>
            <w:tcW w:w="70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a</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7.7+1.0</w:t>
            </w:r>
          </w:p>
        </w:tc>
        <w:tc>
          <w:tcPr>
            <w:tcW w:w="1595" w:type="dxa"/>
            <w:vMerge w:val="continue"/>
            <w:shd w:val="clear" w:color="auto" w:fill="auto"/>
            <w:vAlign w:val="center"/>
          </w:tcPr>
          <w:p>
            <w:pPr>
              <w:pStyle w:val="8"/>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71" w:type="dxa"/>
            <w:vMerge w:val="continue"/>
            <w:shd w:val="clear" w:color="auto" w:fill="auto"/>
            <w:vAlign w:val="center"/>
          </w:tcPr>
          <w:p>
            <w:pPr>
              <w:pStyle w:val="8"/>
              <w:ind w:left="0"/>
              <w:jc w:val="center"/>
              <w:rPr>
                <w:rFonts w:ascii="宋体" w:hAnsi="宋体" w:cs="宋体"/>
                <w:sz w:val="21"/>
                <w:szCs w:val="21"/>
              </w:rPr>
            </w:pPr>
          </w:p>
        </w:tc>
        <w:tc>
          <w:tcPr>
            <w:tcW w:w="1559" w:type="dxa"/>
            <w:vMerge w:val="continue"/>
            <w:shd w:val="clear" w:color="auto" w:fill="auto"/>
            <w:vAlign w:val="center"/>
          </w:tcPr>
          <w:p>
            <w:pPr>
              <w:pStyle w:val="8"/>
              <w:ind w:left="0"/>
              <w:jc w:val="center"/>
              <w:rPr>
                <w:rFonts w:ascii="宋体" w:hAnsi="宋体" w:cs="宋体"/>
                <w:sz w:val="21"/>
                <w:szCs w:val="21"/>
              </w:rPr>
            </w:pPr>
          </w:p>
        </w:tc>
        <w:tc>
          <w:tcPr>
            <w:tcW w:w="2694" w:type="dxa"/>
            <w:shd w:val="clear" w:color="auto" w:fill="auto"/>
            <w:vAlign w:val="center"/>
          </w:tcPr>
          <w:p>
            <w:pPr>
              <w:pStyle w:val="8"/>
              <w:ind w:left="0"/>
              <w:rPr>
                <w:rFonts w:ascii="宋体" w:hAnsi="宋体" w:cs="宋体"/>
                <w:sz w:val="21"/>
                <w:szCs w:val="21"/>
              </w:rPr>
            </w:pPr>
            <w:r>
              <w:rPr>
                <w:rFonts w:hint="eastAsia" w:ascii="宋体" w:hAnsi="宋体" w:cs="宋体"/>
                <w:sz w:val="21"/>
                <w:szCs w:val="21"/>
              </w:rPr>
              <w:t>3）分析化验</w:t>
            </w:r>
          </w:p>
        </w:tc>
        <w:tc>
          <w:tcPr>
            <w:tcW w:w="701"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组</w:t>
            </w:r>
          </w:p>
        </w:tc>
        <w:tc>
          <w:tcPr>
            <w:tcW w:w="1106" w:type="dxa"/>
            <w:shd w:val="clear" w:color="auto" w:fill="auto"/>
            <w:vAlign w:val="center"/>
          </w:tcPr>
          <w:p>
            <w:pPr>
              <w:pStyle w:val="8"/>
              <w:ind w:left="0"/>
              <w:jc w:val="center"/>
              <w:rPr>
                <w:rFonts w:ascii="宋体" w:hAnsi="宋体" w:cs="宋体"/>
                <w:sz w:val="21"/>
                <w:szCs w:val="21"/>
              </w:rPr>
            </w:pPr>
            <w:r>
              <w:rPr>
                <w:rFonts w:hint="eastAsia" w:ascii="宋体" w:hAnsi="宋体" w:cs="宋体"/>
                <w:sz w:val="21"/>
                <w:szCs w:val="21"/>
              </w:rPr>
              <w:t>18</w:t>
            </w:r>
          </w:p>
        </w:tc>
        <w:tc>
          <w:tcPr>
            <w:tcW w:w="1595" w:type="dxa"/>
            <w:vMerge w:val="continue"/>
            <w:shd w:val="clear" w:color="auto" w:fill="auto"/>
            <w:vAlign w:val="center"/>
          </w:tcPr>
          <w:p>
            <w:pPr>
              <w:pStyle w:val="8"/>
              <w:ind w:left="0"/>
              <w:jc w:val="center"/>
              <w:rPr>
                <w:rFonts w:ascii="宋体" w:hAnsi="宋体" w:cs="宋体"/>
                <w:sz w:val="21"/>
                <w:szCs w:val="21"/>
              </w:rPr>
            </w:pPr>
          </w:p>
        </w:tc>
      </w:tr>
    </w:tbl>
    <w:p>
      <w:pPr>
        <w:spacing w:line="470" w:lineRule="exact"/>
        <w:ind w:firstLine="480"/>
        <w:rPr>
          <w:sz w:val="24"/>
        </w:rPr>
      </w:pPr>
      <w:r>
        <w:rPr>
          <w:sz w:val="24"/>
        </w:rPr>
        <w:t>4、植被恢复监测及进度安排</w:t>
      </w:r>
    </w:p>
    <w:p>
      <w:pPr>
        <w:spacing w:line="470" w:lineRule="exact"/>
        <w:ind w:firstLine="480"/>
        <w:rPr>
          <w:sz w:val="24"/>
        </w:rPr>
      </w:pPr>
      <w:r>
        <w:rPr>
          <w:sz w:val="24"/>
        </w:rPr>
        <w:t>主要是针对植被生长情况进行监测。本次监测主要采用人工现场调查和量测方法。</w:t>
      </w:r>
    </w:p>
    <w:p>
      <w:pPr>
        <w:spacing w:line="470" w:lineRule="exact"/>
        <w:ind w:firstLine="480"/>
        <w:rPr>
          <w:sz w:val="24"/>
        </w:rPr>
      </w:pPr>
      <w:r>
        <w:rPr>
          <w:sz w:val="24"/>
        </w:rPr>
        <w:t xml:space="preserve">a、监测内容：监测植被存活情况、生长量、植物郁闭度及非自然死亡、退化等情况。 </w:t>
      </w:r>
    </w:p>
    <w:p>
      <w:pPr>
        <w:spacing w:line="470" w:lineRule="exact"/>
        <w:ind w:firstLine="480"/>
        <w:rPr>
          <w:sz w:val="24"/>
        </w:rPr>
      </w:pPr>
      <w:r>
        <w:rPr>
          <w:sz w:val="24"/>
        </w:rPr>
        <w:t xml:space="preserve">b、监测方法：聘请专业人员定期进行巡查、量测，对破坏范围内的植被破坏情况、土壤破坏情况、植被绿化的效果等进行调查、观测。 </w:t>
      </w:r>
    </w:p>
    <w:p>
      <w:pPr>
        <w:spacing w:line="470" w:lineRule="exact"/>
        <w:ind w:firstLine="480" w:firstLineChars="200"/>
        <w:rPr>
          <w:sz w:val="24"/>
        </w:rPr>
      </w:pPr>
      <w:r>
        <w:rPr>
          <w:sz w:val="24"/>
        </w:rPr>
        <w:t>c、监测频率：半年一次，每次2人，每人计2工班/日，以随时掌握植被生长情况，监测时间为4年</w:t>
      </w:r>
      <w:r>
        <w:rPr>
          <w:rFonts w:hint="eastAsia"/>
          <w:sz w:val="24"/>
        </w:rPr>
        <w:t>（表4-16）</w:t>
      </w:r>
      <w:r>
        <w:rPr>
          <w:sz w:val="24"/>
        </w:rPr>
        <w:t>。</w:t>
      </w:r>
    </w:p>
    <w:p>
      <w:pPr>
        <w:spacing w:line="470" w:lineRule="exact"/>
        <w:ind w:firstLine="480" w:firstLineChars="200"/>
        <w:jc w:val="center"/>
        <w:rPr>
          <w:rFonts w:ascii="宋体" w:hAnsi="宋体" w:cs="宋体"/>
          <w:sz w:val="24"/>
        </w:rPr>
      </w:pPr>
      <w:r>
        <w:rPr>
          <w:rFonts w:hint="eastAsia" w:ascii="宋体" w:hAnsi="宋体" w:cs="宋体"/>
          <w:sz w:val="24"/>
        </w:rPr>
        <w:t>表4-16   植被恢复监测工程量及进度安排表</w:t>
      </w:r>
    </w:p>
    <w:tbl>
      <w:tblPr>
        <w:tblStyle w:val="34"/>
        <w:tblW w:w="8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110"/>
        <w:gridCol w:w="2970"/>
        <w:gridCol w:w="960"/>
        <w:gridCol w:w="963"/>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工程项目</w:t>
            </w:r>
          </w:p>
        </w:tc>
        <w:tc>
          <w:tcPr>
            <w:tcW w:w="4080" w:type="dxa"/>
            <w:gridSpan w:val="2"/>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工 程 名 程</w:t>
            </w:r>
          </w:p>
        </w:tc>
        <w:tc>
          <w:tcPr>
            <w:tcW w:w="960"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单 位</w:t>
            </w:r>
          </w:p>
        </w:tc>
        <w:tc>
          <w:tcPr>
            <w:tcW w:w="963"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工程量</w:t>
            </w:r>
          </w:p>
        </w:tc>
        <w:tc>
          <w:tcPr>
            <w:tcW w:w="1719"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进 度 安 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restart"/>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植被恢复监测</w:t>
            </w:r>
          </w:p>
        </w:tc>
        <w:tc>
          <w:tcPr>
            <w:tcW w:w="1110" w:type="dxa"/>
            <w:vMerge w:val="restart"/>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修复复垦区</w:t>
            </w:r>
          </w:p>
        </w:tc>
        <w:tc>
          <w:tcPr>
            <w:tcW w:w="2970" w:type="dxa"/>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1、植被恢复监测</w:t>
            </w:r>
          </w:p>
        </w:tc>
        <w:tc>
          <w:tcPr>
            <w:tcW w:w="960" w:type="dxa"/>
            <w:shd w:val="clear" w:color="auto" w:fill="auto"/>
            <w:vAlign w:val="center"/>
          </w:tcPr>
          <w:p>
            <w:pPr>
              <w:pStyle w:val="8"/>
              <w:adjustRightInd w:val="0"/>
              <w:snapToGrid w:val="0"/>
              <w:ind w:left="0"/>
              <w:jc w:val="center"/>
              <w:rPr>
                <w:rFonts w:ascii="宋体" w:hAnsi="宋体" w:cs="宋体"/>
                <w:sz w:val="21"/>
                <w:szCs w:val="21"/>
              </w:rPr>
            </w:pPr>
          </w:p>
        </w:tc>
        <w:tc>
          <w:tcPr>
            <w:tcW w:w="963" w:type="dxa"/>
            <w:shd w:val="clear" w:color="auto" w:fill="auto"/>
            <w:vAlign w:val="center"/>
          </w:tcPr>
          <w:p>
            <w:pPr>
              <w:pStyle w:val="8"/>
              <w:adjustRightInd w:val="0"/>
              <w:snapToGrid w:val="0"/>
              <w:ind w:left="0"/>
              <w:jc w:val="center"/>
              <w:rPr>
                <w:rFonts w:ascii="宋体" w:hAnsi="宋体" w:cs="宋体"/>
                <w:sz w:val="21"/>
                <w:szCs w:val="21"/>
              </w:rPr>
            </w:pPr>
          </w:p>
        </w:tc>
        <w:tc>
          <w:tcPr>
            <w:tcW w:w="1719" w:type="dxa"/>
            <w:vMerge w:val="restart"/>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2032年1月</w:t>
            </w:r>
          </w:p>
          <w:p>
            <w:pPr>
              <w:pStyle w:val="8"/>
              <w:adjustRightInd w:val="0"/>
              <w:snapToGrid w:val="0"/>
              <w:ind w:left="0"/>
              <w:jc w:val="center"/>
              <w:rPr>
                <w:rFonts w:ascii="宋体" w:hAnsi="宋体" w:cs="宋体"/>
                <w:sz w:val="21"/>
                <w:szCs w:val="21"/>
              </w:rPr>
            </w:pPr>
            <w:r>
              <w:rPr>
                <w:rFonts w:hint="eastAsia" w:ascii="宋体" w:hAnsi="宋体" w:cs="宋体"/>
                <w:sz w:val="21"/>
                <w:szCs w:val="21"/>
              </w:rPr>
              <w:t>～2035年12月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2970" w:type="dxa"/>
            <w:shd w:val="clear" w:color="auto" w:fill="auto"/>
          </w:tcPr>
          <w:p>
            <w:pPr>
              <w:pStyle w:val="8"/>
              <w:adjustRightInd w:val="0"/>
              <w:snapToGrid w:val="0"/>
              <w:ind w:left="0"/>
              <w:rPr>
                <w:rFonts w:ascii="宋体" w:hAnsi="宋体" w:cs="宋体"/>
                <w:sz w:val="21"/>
                <w:szCs w:val="21"/>
              </w:rPr>
            </w:pPr>
            <w:r>
              <w:rPr>
                <w:rFonts w:hint="eastAsia" w:ascii="宋体" w:hAnsi="宋体" w:cs="宋体"/>
                <w:sz w:val="21"/>
                <w:szCs w:val="21"/>
              </w:rPr>
              <w:t>1）监测点</w:t>
            </w:r>
          </w:p>
        </w:tc>
        <w:tc>
          <w:tcPr>
            <w:tcW w:w="960" w:type="dxa"/>
            <w:shd w:val="clear" w:color="auto" w:fill="auto"/>
          </w:tcPr>
          <w:p>
            <w:pPr>
              <w:pStyle w:val="8"/>
              <w:adjustRightInd w:val="0"/>
              <w:snapToGrid w:val="0"/>
              <w:ind w:left="0"/>
              <w:jc w:val="center"/>
              <w:rPr>
                <w:rFonts w:ascii="宋体" w:hAnsi="宋体" w:cs="宋体"/>
                <w:sz w:val="21"/>
                <w:szCs w:val="21"/>
              </w:rPr>
            </w:pPr>
            <w:r>
              <w:rPr>
                <w:rFonts w:hint="eastAsia" w:ascii="宋体" w:hAnsi="宋体" w:cs="宋体"/>
                <w:sz w:val="21"/>
                <w:szCs w:val="21"/>
              </w:rPr>
              <w:t>个</w:t>
            </w:r>
          </w:p>
        </w:tc>
        <w:tc>
          <w:tcPr>
            <w:tcW w:w="963"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2</w:t>
            </w:r>
          </w:p>
        </w:tc>
        <w:tc>
          <w:tcPr>
            <w:tcW w:w="1719" w:type="dxa"/>
            <w:vMerge w:val="continue"/>
            <w:shd w:val="clear" w:color="auto" w:fill="auto"/>
            <w:vAlign w:val="center"/>
          </w:tcPr>
          <w:p>
            <w:pPr>
              <w:pStyle w:val="8"/>
              <w:adjustRightInd w:val="0"/>
              <w:snapToGrid w:val="0"/>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2970" w:type="dxa"/>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2）监测时间</w:t>
            </w:r>
          </w:p>
        </w:tc>
        <w:tc>
          <w:tcPr>
            <w:tcW w:w="960"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a</w:t>
            </w:r>
          </w:p>
        </w:tc>
        <w:tc>
          <w:tcPr>
            <w:tcW w:w="963"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4</w:t>
            </w:r>
          </w:p>
        </w:tc>
        <w:tc>
          <w:tcPr>
            <w:tcW w:w="1719" w:type="dxa"/>
            <w:vMerge w:val="continue"/>
            <w:shd w:val="clear" w:color="auto" w:fill="auto"/>
            <w:vAlign w:val="center"/>
          </w:tcPr>
          <w:p>
            <w:pPr>
              <w:pStyle w:val="8"/>
              <w:adjustRightInd w:val="0"/>
              <w:snapToGrid w:val="0"/>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2970" w:type="dxa"/>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3）监测测量</w:t>
            </w:r>
          </w:p>
        </w:tc>
        <w:tc>
          <w:tcPr>
            <w:tcW w:w="960"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次</w:t>
            </w:r>
          </w:p>
        </w:tc>
        <w:tc>
          <w:tcPr>
            <w:tcW w:w="963"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16</w:t>
            </w:r>
          </w:p>
        </w:tc>
        <w:tc>
          <w:tcPr>
            <w:tcW w:w="1719" w:type="dxa"/>
            <w:vMerge w:val="continue"/>
            <w:shd w:val="clear" w:color="auto" w:fill="auto"/>
            <w:vAlign w:val="center"/>
          </w:tcPr>
          <w:p>
            <w:pPr>
              <w:pStyle w:val="8"/>
              <w:adjustRightInd w:val="0"/>
              <w:snapToGrid w:val="0"/>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1110"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2970" w:type="dxa"/>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4）监测工班</w:t>
            </w:r>
          </w:p>
        </w:tc>
        <w:tc>
          <w:tcPr>
            <w:tcW w:w="960"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班</w:t>
            </w:r>
          </w:p>
        </w:tc>
        <w:tc>
          <w:tcPr>
            <w:tcW w:w="963" w:type="dxa"/>
            <w:shd w:val="clear" w:color="auto" w:fill="auto"/>
            <w:vAlign w:val="center"/>
          </w:tcPr>
          <w:p>
            <w:pPr>
              <w:pStyle w:val="8"/>
              <w:adjustRightInd w:val="0"/>
              <w:snapToGrid w:val="0"/>
              <w:ind w:left="0"/>
              <w:jc w:val="center"/>
              <w:rPr>
                <w:rFonts w:ascii="宋体" w:hAnsi="宋体" w:cs="宋体"/>
                <w:sz w:val="21"/>
                <w:szCs w:val="21"/>
              </w:rPr>
            </w:pPr>
            <w:r>
              <w:rPr>
                <w:rFonts w:hint="eastAsia" w:ascii="宋体" w:hAnsi="宋体" w:cs="宋体"/>
                <w:sz w:val="21"/>
                <w:szCs w:val="21"/>
              </w:rPr>
              <w:t>16</w:t>
            </w:r>
          </w:p>
        </w:tc>
        <w:tc>
          <w:tcPr>
            <w:tcW w:w="1719" w:type="dxa"/>
            <w:vMerge w:val="continue"/>
            <w:shd w:val="clear" w:color="auto" w:fill="auto"/>
            <w:vAlign w:val="center"/>
          </w:tcPr>
          <w:p>
            <w:pPr>
              <w:pStyle w:val="8"/>
              <w:adjustRightInd w:val="0"/>
              <w:snapToGrid w:val="0"/>
              <w:ind w:left="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6" w:type="dxa"/>
            <w:vMerge w:val="continue"/>
            <w:shd w:val="clear" w:color="auto" w:fill="auto"/>
            <w:vAlign w:val="center"/>
          </w:tcPr>
          <w:p>
            <w:pPr>
              <w:pStyle w:val="8"/>
              <w:adjustRightInd w:val="0"/>
              <w:snapToGrid w:val="0"/>
              <w:ind w:left="0"/>
              <w:jc w:val="center"/>
              <w:rPr>
                <w:rFonts w:ascii="宋体" w:hAnsi="宋体" w:cs="宋体"/>
                <w:sz w:val="21"/>
                <w:szCs w:val="21"/>
              </w:rPr>
            </w:pPr>
          </w:p>
        </w:tc>
        <w:tc>
          <w:tcPr>
            <w:tcW w:w="7722" w:type="dxa"/>
            <w:gridSpan w:val="5"/>
            <w:shd w:val="clear" w:color="auto" w:fill="auto"/>
            <w:vAlign w:val="center"/>
          </w:tcPr>
          <w:p>
            <w:pPr>
              <w:pStyle w:val="8"/>
              <w:adjustRightInd w:val="0"/>
              <w:snapToGrid w:val="0"/>
              <w:ind w:left="0"/>
              <w:rPr>
                <w:rFonts w:ascii="宋体" w:hAnsi="宋体" w:cs="宋体"/>
                <w:sz w:val="21"/>
                <w:szCs w:val="21"/>
              </w:rPr>
            </w:pPr>
            <w:r>
              <w:rPr>
                <w:rFonts w:hint="eastAsia" w:ascii="宋体" w:hAnsi="宋体" w:cs="宋体"/>
                <w:sz w:val="21"/>
                <w:szCs w:val="21"/>
              </w:rPr>
              <w:t>注：表中监测频率系为估算投资而一般设置，矿山可根据开采情况加密观测（包</w:t>
            </w:r>
          </w:p>
          <w:p>
            <w:pPr>
              <w:pStyle w:val="8"/>
              <w:adjustRightInd w:val="0"/>
              <w:snapToGrid w:val="0"/>
              <w:ind w:left="0"/>
              <w:rPr>
                <w:rFonts w:ascii="宋体" w:hAnsi="宋体" w:cs="宋体"/>
                <w:sz w:val="21"/>
                <w:szCs w:val="21"/>
              </w:rPr>
            </w:pPr>
            <w:r>
              <w:rPr>
                <w:rFonts w:hint="eastAsia" w:ascii="宋体" w:hAnsi="宋体" w:cs="宋体"/>
                <w:sz w:val="21"/>
                <w:szCs w:val="21"/>
              </w:rPr>
              <w:t>括巡查、矿群联查工程），在汛期、雨季加密巡查次数。</w:t>
            </w:r>
          </w:p>
        </w:tc>
      </w:tr>
    </w:tbl>
    <w:p>
      <w:pPr>
        <w:spacing w:line="470" w:lineRule="exact"/>
        <w:ind w:firstLine="480"/>
        <w:rPr>
          <w:sz w:val="24"/>
        </w:rPr>
      </w:pPr>
      <w:r>
        <w:rPr>
          <w:sz w:val="24"/>
        </w:rPr>
        <w:t>5、生态修复管护工程及进度安排</w:t>
      </w:r>
    </w:p>
    <w:p>
      <w:pPr>
        <w:spacing w:line="470" w:lineRule="exact"/>
        <w:ind w:firstLine="480"/>
        <w:rPr>
          <w:sz w:val="24"/>
        </w:rPr>
      </w:pPr>
      <w:r>
        <w:rPr>
          <w:sz w:val="24"/>
        </w:rPr>
        <w:t>（1）工程设计</w:t>
      </w:r>
    </w:p>
    <w:p>
      <w:pPr>
        <w:spacing w:line="470" w:lineRule="exact"/>
        <w:ind w:firstLine="480"/>
        <w:rPr>
          <w:sz w:val="24"/>
        </w:rPr>
      </w:pPr>
      <w:r>
        <w:rPr>
          <w:sz w:val="24"/>
        </w:rPr>
        <w:t>根据当地气候条件和林木生长规律，闭坑后修复的管护期定为3a；而矿山开采期间修复的，其监测管护时间应与开采期限相同。管护工程主要针对修复成林地、草地的地段，主要包括松土培土、修剪、施肥浇水、病虫害防治和补栽。松土在春季进行，培土在入冬前进行。修剪，一年一次在冬季落叶后进行，在开春后入冬前进行施肥，施用肥料以有机复合肥为主。春季病虫高峰期喷洒保护剂，防治剂视病虫害发生情况适时喷洒，使用品种为无害农药。灌溉方式采用人工灌溉，利用矿山生产时期购置的洒水车进行浇水施工。浇水主要在夏季节，排涝主要在梅雨季节。聘请林业专业技术人员实施林草旱管护。</w:t>
      </w:r>
    </w:p>
    <w:p>
      <w:pPr>
        <w:spacing w:line="470" w:lineRule="exact"/>
        <w:ind w:firstLine="480" w:firstLineChars="200"/>
        <w:rPr>
          <w:sz w:val="24"/>
        </w:rPr>
      </w:pPr>
      <w:r>
        <w:rPr>
          <w:sz w:val="24"/>
        </w:rPr>
        <w:t>（2）管护目标</w:t>
      </w:r>
    </w:p>
    <w:p>
      <w:pPr>
        <w:spacing w:line="440" w:lineRule="exact"/>
        <w:ind w:firstLine="480" w:firstLineChars="200"/>
        <w:rPr>
          <w:sz w:val="24"/>
        </w:rPr>
      </w:pPr>
      <w:r>
        <w:rPr>
          <w:sz w:val="24"/>
        </w:rPr>
        <w:t>根据生态修复计划及复垦目标，本矿山复垦主要为露采场、矿山工业广场及地面建筑区和矿山公路3个复垦单元，未来管护目标即为该3个复垦单元复垦后的植被。其中露采场管护目标为平台灌木林草地，底盘水塘区，矿山工业广场、地面建筑区及矿山公路均转型利用为建设用地，管护目标为上述复垦区林木成活率达到</w:t>
      </w:r>
      <w:r>
        <w:rPr>
          <w:rFonts w:hint="eastAsia"/>
          <w:sz w:val="24"/>
        </w:rPr>
        <w:t>**</w:t>
      </w:r>
      <w:r>
        <w:rPr>
          <w:sz w:val="24"/>
        </w:rPr>
        <w:t>%以上，林草地郁闭度达</w:t>
      </w:r>
      <w:r>
        <w:rPr>
          <w:rFonts w:hint="eastAsia"/>
          <w:sz w:val="24"/>
        </w:rPr>
        <w:t>**</w:t>
      </w:r>
      <w:r>
        <w:rPr>
          <w:sz w:val="24"/>
        </w:rPr>
        <w:t>以上。最终以《湖南省矿山地质环境保护与恢复治理验收标准（DB43/T1391-2018）》为准。</w:t>
      </w:r>
    </w:p>
    <w:p>
      <w:pPr>
        <w:spacing w:line="440" w:lineRule="exact"/>
        <w:ind w:firstLine="480" w:firstLineChars="200"/>
        <w:rPr>
          <w:sz w:val="24"/>
        </w:rPr>
      </w:pPr>
      <w:r>
        <w:rPr>
          <w:sz w:val="24"/>
        </w:rPr>
        <w:t>（3）管护质量标准</w:t>
      </w:r>
    </w:p>
    <w:p>
      <w:pPr>
        <w:spacing w:line="440" w:lineRule="exact"/>
        <w:ind w:firstLine="480" w:firstLineChars="200"/>
        <w:rPr>
          <w:sz w:val="24"/>
        </w:rPr>
      </w:pPr>
      <w:r>
        <w:rPr>
          <w:sz w:val="24"/>
        </w:rPr>
        <w:t>植物长势良好，无枯黄现象、病虫害控制在12%以下，不至成灾；及时清除枯死树木，补植成林；防火措施得当，全年杜绝发生大的火灾事故；维持层次丰富、稳定、多样的植物群落结构，维护良好的自然生态景观。</w:t>
      </w:r>
    </w:p>
    <w:bookmarkEnd w:id="60"/>
    <w:bookmarkEnd w:id="61"/>
    <w:bookmarkEnd w:id="62"/>
    <w:bookmarkEnd w:id="63"/>
    <w:bookmarkEnd w:id="64"/>
    <w:bookmarkEnd w:id="65"/>
    <w:bookmarkEnd w:id="66"/>
    <w:bookmarkEnd w:id="67"/>
    <w:bookmarkEnd w:id="68"/>
    <w:p>
      <w:pPr>
        <w:spacing w:line="470" w:lineRule="exact"/>
        <w:ind w:firstLine="480" w:firstLineChars="200"/>
        <w:jc w:val="center"/>
        <w:rPr>
          <w:rFonts w:ascii="宋体" w:hAnsi="宋体" w:cs="宋体"/>
          <w:sz w:val="24"/>
        </w:rPr>
      </w:pPr>
      <w:bookmarkStart w:id="73" w:name="_Toc5408"/>
      <w:bookmarkStart w:id="74" w:name="_Toc6992"/>
      <w:bookmarkStart w:id="75" w:name="_Toc497862380"/>
      <w:r>
        <w:rPr>
          <w:rFonts w:hint="eastAsia" w:ascii="宋体" w:hAnsi="宋体" w:cs="宋体"/>
          <w:sz w:val="24"/>
        </w:rPr>
        <w:t>表4-17   管护工程量测算及进度安排</w:t>
      </w:r>
    </w:p>
    <w:tbl>
      <w:tblPr>
        <w:tblStyle w:val="34"/>
        <w:tblpPr w:leftFromText="180" w:rightFromText="180" w:vertAnchor="text" w:horzAnchor="page" w:tblpX="1455" w:tblpY="126"/>
        <w:tblOverlap w:val="never"/>
        <w:tblW w:w="9351" w:type="dxa"/>
        <w:tblInd w:w="0" w:type="dxa"/>
        <w:tblLayout w:type="fixed"/>
        <w:tblCellMar>
          <w:top w:w="0" w:type="dxa"/>
          <w:left w:w="108" w:type="dxa"/>
          <w:bottom w:w="0" w:type="dxa"/>
          <w:right w:w="108" w:type="dxa"/>
        </w:tblCellMar>
      </w:tblPr>
      <w:tblGrid>
        <w:gridCol w:w="1474"/>
        <w:gridCol w:w="1950"/>
        <w:gridCol w:w="1755"/>
        <w:gridCol w:w="1335"/>
        <w:gridCol w:w="1770"/>
        <w:gridCol w:w="1067"/>
      </w:tblGrid>
      <w:tr>
        <w:trPr>
          <w:trHeight w:val="370"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工程项目</w:t>
            </w:r>
          </w:p>
        </w:tc>
        <w:tc>
          <w:tcPr>
            <w:tcW w:w="37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工程名称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单位</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工程量</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备注</w:t>
            </w:r>
          </w:p>
        </w:tc>
      </w:tr>
      <w:tr>
        <w:tblPrEx>
          <w:tblCellMar>
            <w:top w:w="0" w:type="dxa"/>
            <w:left w:w="108" w:type="dxa"/>
            <w:bottom w:w="0" w:type="dxa"/>
            <w:right w:w="108" w:type="dxa"/>
          </w:tblCellMar>
        </w:tblPrEx>
        <w:trPr>
          <w:trHeight w:val="370" w:hRule="atLeast"/>
        </w:trPr>
        <w:tc>
          <w:tcPr>
            <w:tcW w:w="1474"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管护</w:t>
            </w:r>
          </w:p>
          <w:p>
            <w:pPr>
              <w:widowControl/>
              <w:jc w:val="center"/>
              <w:textAlignment w:val="center"/>
              <w:rPr>
                <w:rFonts w:ascii="宋体" w:hAnsi="宋体" w:cs="宋体"/>
                <w:szCs w:val="21"/>
              </w:rPr>
            </w:pPr>
            <w:r>
              <w:rPr>
                <w:rFonts w:hint="eastAsia" w:ascii="宋体" w:hAnsi="宋体" w:cs="宋体"/>
                <w:kern w:val="0"/>
                <w:szCs w:val="21"/>
              </w:rPr>
              <w:t>工程</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面积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总复垦修复区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hm</w:t>
            </w:r>
            <w:r>
              <w:rPr>
                <w:rStyle w:val="244"/>
                <w:rFonts w:hint="default" w:ascii="宋体" w:hAnsi="宋体" w:eastAsia="宋体" w:cs="宋体"/>
                <w:color w:val="auto"/>
                <w:sz w:val="21"/>
                <w:szCs w:val="21"/>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0.33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p>
        </w:tc>
      </w:tr>
      <w:tr>
        <w:tblPrEx>
          <w:tblCellMar>
            <w:top w:w="0" w:type="dxa"/>
            <w:left w:w="108" w:type="dxa"/>
            <w:bottom w:w="0" w:type="dxa"/>
            <w:right w:w="108" w:type="dxa"/>
          </w:tblCellMar>
        </w:tblPrEx>
        <w:trPr>
          <w:trHeight w:val="370" w:hRule="atLeast"/>
        </w:trPr>
        <w:tc>
          <w:tcPr>
            <w:tcW w:w="1474"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年限</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植树种草后三年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年</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p>
        </w:tc>
      </w:tr>
    </w:tbl>
    <w:p>
      <w:pPr>
        <w:pStyle w:val="5"/>
        <w:spacing w:before="0" w:after="0" w:line="360" w:lineRule="auto"/>
        <w:jc w:val="left"/>
        <w:rPr>
          <w:b w:val="0"/>
          <w:bCs w:val="0"/>
          <w:sz w:val="24"/>
          <w:szCs w:val="24"/>
        </w:rPr>
      </w:pPr>
    </w:p>
    <w:p>
      <w:pPr>
        <w:pStyle w:val="5"/>
        <w:numPr>
          <w:ilvl w:val="0"/>
          <w:numId w:val="5"/>
        </w:numPr>
        <w:spacing w:before="0" w:after="0" w:line="360" w:lineRule="auto"/>
        <w:jc w:val="left"/>
        <w:rPr>
          <w:b w:val="0"/>
          <w:bCs w:val="0"/>
          <w:sz w:val="24"/>
          <w:szCs w:val="24"/>
        </w:rPr>
      </w:pPr>
      <w:r>
        <w:rPr>
          <w:b w:val="0"/>
          <w:bCs w:val="0"/>
          <w:sz w:val="24"/>
          <w:szCs w:val="24"/>
        </w:rPr>
        <w:t>矿山生态保护修复工程量测算汇总（见表4-</w:t>
      </w:r>
      <w:r>
        <w:rPr>
          <w:rFonts w:hint="eastAsia"/>
          <w:b w:val="0"/>
          <w:bCs w:val="0"/>
          <w:sz w:val="24"/>
          <w:szCs w:val="24"/>
        </w:rPr>
        <w:t>18</w:t>
      </w:r>
      <w:r>
        <w:rPr>
          <w:b w:val="0"/>
          <w:bCs w:val="0"/>
          <w:sz w:val="24"/>
          <w:szCs w:val="24"/>
        </w:rPr>
        <w:t>）</w:t>
      </w:r>
    </w:p>
    <w:p>
      <w:pPr>
        <w:spacing w:line="360" w:lineRule="auto"/>
        <w:jc w:val="center"/>
      </w:pPr>
      <w:r>
        <w:rPr>
          <w:sz w:val="24"/>
        </w:rPr>
        <w:t>表4-</w:t>
      </w:r>
      <w:r>
        <w:rPr>
          <w:rFonts w:hint="eastAsia"/>
          <w:sz w:val="24"/>
        </w:rPr>
        <w:t>18</w:t>
      </w:r>
      <w:r>
        <w:rPr>
          <w:sz w:val="24"/>
        </w:rPr>
        <w:t xml:space="preserve">  矿山生态保护修复工程量测算汇总表（按工程类别）</w:t>
      </w:r>
    </w:p>
    <w:tbl>
      <w:tblPr>
        <w:tblStyle w:val="34"/>
        <w:tblW w:w="9547" w:type="dxa"/>
        <w:tblInd w:w="0" w:type="dxa"/>
        <w:tblLayout w:type="fixed"/>
        <w:tblCellMar>
          <w:top w:w="0" w:type="dxa"/>
          <w:left w:w="108" w:type="dxa"/>
          <w:bottom w:w="0" w:type="dxa"/>
          <w:right w:w="108" w:type="dxa"/>
        </w:tblCellMar>
      </w:tblPr>
      <w:tblGrid>
        <w:gridCol w:w="419"/>
        <w:gridCol w:w="773"/>
        <w:gridCol w:w="1213"/>
        <w:gridCol w:w="2268"/>
        <w:gridCol w:w="3119"/>
        <w:gridCol w:w="708"/>
        <w:gridCol w:w="1047"/>
      </w:tblGrid>
      <w:tr>
        <w:tblPrEx>
          <w:tblCellMar>
            <w:top w:w="0" w:type="dxa"/>
            <w:left w:w="108" w:type="dxa"/>
            <w:bottom w:w="0" w:type="dxa"/>
            <w:right w:w="108" w:type="dxa"/>
          </w:tblCellMar>
        </w:tblPrEx>
        <w:trPr>
          <w:trHeight w:val="285" w:hRule="atLeast"/>
          <w:tblHeader/>
        </w:trPr>
        <w:tc>
          <w:tcPr>
            <w:tcW w:w="4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7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工程类别</w:t>
            </w:r>
          </w:p>
        </w:tc>
        <w:tc>
          <w:tcPr>
            <w:tcW w:w="121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工程内容</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分项工程名称</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工程量计算公式</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计算单位</w:t>
            </w:r>
          </w:p>
        </w:tc>
        <w:tc>
          <w:tcPr>
            <w:tcW w:w="10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工程量</w:t>
            </w:r>
          </w:p>
        </w:tc>
      </w:tr>
      <w:tr>
        <w:tblPrEx>
          <w:tblCellMar>
            <w:top w:w="0" w:type="dxa"/>
            <w:left w:w="108" w:type="dxa"/>
            <w:bottom w:w="0" w:type="dxa"/>
            <w:right w:w="108" w:type="dxa"/>
          </w:tblCellMar>
        </w:tblPrEx>
        <w:trPr>
          <w:trHeight w:val="455" w:hRule="atLeast"/>
        </w:trPr>
        <w:tc>
          <w:tcPr>
            <w:tcW w:w="419" w:type="dxa"/>
            <w:vMerge w:val="restart"/>
            <w:tcBorders>
              <w:top w:val="nil"/>
              <w:left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一</w:t>
            </w:r>
          </w:p>
        </w:tc>
        <w:tc>
          <w:tcPr>
            <w:tcW w:w="773" w:type="dxa"/>
            <w:vMerge w:val="restart"/>
            <w:tcBorders>
              <w:top w:val="nil"/>
              <w:left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土地复垦与生物多样性修复工程</w:t>
            </w:r>
          </w:p>
        </w:tc>
        <w:tc>
          <w:tcPr>
            <w:tcW w:w="1213" w:type="dxa"/>
            <w:vMerge w:val="restart"/>
            <w:tcBorders>
              <w:top w:val="nil"/>
              <w:left w:val="nil"/>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露采场平台外侧防护工程</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防护栏(150mm×3mm)</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3×3311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w:t>
            </w:r>
          </w:p>
        </w:tc>
      </w:tr>
      <w:tr>
        <w:tblPrEx>
          <w:tblCellMar>
            <w:top w:w="0" w:type="dxa"/>
            <w:left w:w="108" w:type="dxa"/>
            <w:bottom w:w="0" w:type="dxa"/>
            <w:right w:w="108" w:type="dxa"/>
          </w:tblCellMar>
        </w:tblPrEx>
        <w:trPr>
          <w:trHeight w:val="382" w:hRule="atLeast"/>
        </w:trPr>
        <w:tc>
          <w:tcPr>
            <w:tcW w:w="419"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773"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1213"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钢钉(15mm×10mm)</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3×3311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个</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w:t>
            </w:r>
          </w:p>
        </w:tc>
      </w:tr>
      <w:tr>
        <w:tblPrEx>
          <w:tblCellMar>
            <w:top w:w="0" w:type="dxa"/>
            <w:left w:w="108" w:type="dxa"/>
            <w:bottom w:w="0" w:type="dxa"/>
            <w:right w:w="108" w:type="dxa"/>
          </w:tblCellMar>
        </w:tblPrEx>
        <w:trPr>
          <w:trHeight w:val="383" w:hRule="atLeast"/>
        </w:trPr>
        <w:tc>
          <w:tcPr>
            <w:tcW w:w="419"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773"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1213"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打孔孔深（10mm×15mm）</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0.03×3311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restart"/>
            <w:tcBorders>
              <w:top w:val="nil"/>
              <w:left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复绿工程</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覆土工程（50cm）（外购土方，运距10km）</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0.5×（3311+22322）</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12816.5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土壤培肥（有机肥）</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1.5×12816.5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kg</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19225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土壤培肥（保水剂）</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0.15×1655.5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kg</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1922.5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平台种植灌木</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1×3311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株</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3311</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工业广场及矿部种植乔木</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22322/9</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2480</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撒播草籽</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1×（3311+22322）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25633</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打孔孔深</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0.967×3311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3201.74</w:t>
            </w:r>
          </w:p>
        </w:tc>
      </w:tr>
      <w:tr>
        <w:tblPrEx>
          <w:tblCellMar>
            <w:top w:w="0" w:type="dxa"/>
            <w:left w:w="108" w:type="dxa"/>
            <w:bottom w:w="0" w:type="dxa"/>
            <w:right w:w="108" w:type="dxa"/>
          </w:tblCellMar>
        </w:tblPrEx>
        <w:trPr>
          <w:trHeight w:val="90"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锚钉（HRB400）</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1.614×3311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kg</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5343.94</w:t>
            </w:r>
          </w:p>
        </w:tc>
      </w:tr>
      <w:tr>
        <w:tblPrEx>
          <w:tblCellMar>
            <w:top w:w="0" w:type="dxa"/>
            <w:left w:w="108" w:type="dxa"/>
            <w:bottom w:w="0" w:type="dxa"/>
            <w:right w:w="108" w:type="dxa"/>
          </w:tblCellMar>
        </w:tblPrEx>
        <w:trPr>
          <w:trHeight w:val="156"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土工布</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10×3311</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33110</w:t>
            </w:r>
          </w:p>
        </w:tc>
      </w:tr>
      <w:tr>
        <w:tblPrEx>
          <w:tblCellMar>
            <w:top w:w="0" w:type="dxa"/>
            <w:left w:w="108" w:type="dxa"/>
            <w:bottom w:w="0" w:type="dxa"/>
            <w:right w:w="108" w:type="dxa"/>
          </w:tblCellMar>
        </w:tblPrEx>
        <w:trPr>
          <w:trHeight w:val="77"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爬藤植物</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4×2949</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株</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11796</w:t>
            </w:r>
          </w:p>
        </w:tc>
      </w:tr>
      <w:tr>
        <w:tblPrEx>
          <w:tblCellMar>
            <w:top w:w="0" w:type="dxa"/>
            <w:left w:w="108" w:type="dxa"/>
            <w:bottom w:w="0" w:type="dxa"/>
            <w:right w:w="108" w:type="dxa"/>
          </w:tblCellMar>
        </w:tblPrEx>
        <w:trPr>
          <w:trHeight w:val="77"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红砖</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50×2949</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个</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147450</w:t>
            </w:r>
          </w:p>
        </w:tc>
      </w:tr>
      <w:tr>
        <w:tblPrEx>
          <w:tblCellMar>
            <w:top w:w="0" w:type="dxa"/>
            <w:left w:w="108" w:type="dxa"/>
            <w:bottom w:w="0" w:type="dxa"/>
            <w:right w:w="108" w:type="dxa"/>
          </w:tblCellMar>
        </w:tblPrEx>
        <w:trPr>
          <w:trHeight w:val="116"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矿部和工业广场建筑拆除</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4951*0.3</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1485.30</w:t>
            </w:r>
          </w:p>
        </w:tc>
      </w:tr>
      <w:tr>
        <w:tblPrEx>
          <w:tblCellMar>
            <w:top w:w="0" w:type="dxa"/>
            <w:left w:w="108" w:type="dxa"/>
            <w:bottom w:w="0" w:type="dxa"/>
            <w:right w:w="108" w:type="dxa"/>
          </w:tblCellMar>
        </w:tblPrEx>
        <w:trPr>
          <w:trHeight w:val="116"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矿部和工业广场渣土清运</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4951*0.3</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1485.30</w:t>
            </w:r>
          </w:p>
        </w:tc>
      </w:tr>
      <w:tr>
        <w:tblPrEx>
          <w:tblCellMar>
            <w:top w:w="0" w:type="dxa"/>
            <w:left w:w="108" w:type="dxa"/>
            <w:bottom w:w="0" w:type="dxa"/>
            <w:right w:w="108" w:type="dxa"/>
          </w:tblCellMar>
        </w:tblPrEx>
        <w:trPr>
          <w:trHeight w:val="285" w:hRule="atLeast"/>
        </w:trPr>
        <w:tc>
          <w:tcPr>
            <w:tcW w:w="41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二</w:t>
            </w:r>
          </w:p>
        </w:tc>
        <w:tc>
          <w:tcPr>
            <w:tcW w:w="773" w:type="dxa"/>
            <w:vMerge w:val="restart"/>
            <w:tcBorders>
              <w:top w:val="nil"/>
              <w:left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水生态水环境修复工程</w:t>
            </w:r>
          </w:p>
        </w:tc>
        <w:tc>
          <w:tcPr>
            <w:tcW w:w="121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露采场沉淀池（1个）</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挖土方</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27×3×2.1</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170.1</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弃方</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27×3×2.1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170.1</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现浇底板</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27×3×0.3</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24.3</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浆砌块石</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（27×2+3×2）×1.8</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108</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砂浆抹面（厚0.03m）</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（27+2.4）×1.8×2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105.84</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防护栏</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（27+3）×2×1.2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72</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沉淀池清淤</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清淤工程</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34.02×2×11.7</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796.07</w:t>
            </w:r>
          </w:p>
        </w:tc>
      </w:tr>
      <w:tr>
        <w:tblPrEx>
          <w:tblCellMar>
            <w:top w:w="0" w:type="dxa"/>
            <w:left w:w="108" w:type="dxa"/>
            <w:bottom w:w="0" w:type="dxa"/>
            <w:right w:w="108" w:type="dxa"/>
          </w:tblCellMar>
        </w:tblPrEx>
        <w:trPr>
          <w:trHeight w:val="98"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restart"/>
            <w:tcBorders>
              <w:top w:val="nil"/>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地质灾害安全隐患消除工程</w:t>
            </w:r>
          </w:p>
        </w:tc>
        <w:tc>
          <w:tcPr>
            <w:tcW w:w="1213" w:type="dxa"/>
            <w:vMerge w:val="restart"/>
            <w:tcBorders>
              <w:top w:val="nil"/>
              <w:left w:val="single" w:color="auto" w:sz="4"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东南侧边坡</w:t>
            </w:r>
          </w:p>
          <w:p>
            <w:pPr>
              <w:pStyle w:val="2"/>
              <w:rPr>
                <w:rFonts w:ascii="宋体" w:hAnsi="宋体" w:cs="宋体"/>
                <w:szCs w:val="21"/>
              </w:rPr>
            </w:pPr>
            <w:r>
              <w:rPr>
                <w:rFonts w:hint="eastAsia" w:ascii="宋体" w:hAnsi="宋体" w:cs="宋体"/>
                <w:kern w:val="0"/>
                <w:szCs w:val="21"/>
              </w:rPr>
              <w:t>（60米以上）</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土壤培肥（有机肥）</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1.5×107</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kg</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160.5</w:t>
            </w:r>
          </w:p>
        </w:tc>
      </w:tr>
      <w:tr>
        <w:tblPrEx>
          <w:tblCellMar>
            <w:top w:w="0" w:type="dxa"/>
            <w:left w:w="108" w:type="dxa"/>
            <w:bottom w:w="0" w:type="dxa"/>
            <w:right w:w="108" w:type="dxa"/>
          </w:tblCellMar>
        </w:tblPrEx>
        <w:trPr>
          <w:trHeight w:val="98"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土方开挖</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实算</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180</w:t>
            </w:r>
          </w:p>
        </w:tc>
      </w:tr>
      <w:tr>
        <w:tblPrEx>
          <w:tblCellMar>
            <w:top w:w="0" w:type="dxa"/>
            <w:left w:w="108" w:type="dxa"/>
            <w:bottom w:w="0" w:type="dxa"/>
            <w:right w:w="108" w:type="dxa"/>
          </w:tblCellMar>
        </w:tblPrEx>
        <w:trPr>
          <w:trHeight w:val="98"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土方回填</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实算</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175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土壤培肥（保水剂）</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0.15×107</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kg</w:t>
            </w:r>
          </w:p>
        </w:tc>
        <w:tc>
          <w:tcPr>
            <w:tcW w:w="10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16.05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草皮护坡</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1×214</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214</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restart"/>
            <w:tcBorders>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东南侧边坡（50米-60之间）</w:t>
            </w:r>
          </w:p>
        </w:tc>
        <w:tc>
          <w:tcPr>
            <w:tcW w:w="2268" w:type="dxa"/>
            <w:tcBorders>
              <w:top w:val="nil"/>
              <w:left w:val="nil"/>
              <w:bottom w:val="single" w:color="auto" w:sz="4" w:space="0"/>
              <w:right w:val="single" w:color="auto" w:sz="4" w:space="0"/>
            </w:tcBorders>
            <w:shd w:val="clear" w:color="auto" w:fill="auto"/>
            <w:noWrap/>
          </w:tcPr>
          <w:p>
            <w:pPr>
              <w:widowControl/>
              <w:jc w:val="center"/>
              <w:rPr>
                <w:rFonts w:ascii="宋体" w:hAnsi="宋体" w:cs="宋体"/>
                <w:kern w:val="0"/>
                <w:szCs w:val="21"/>
              </w:rPr>
            </w:pPr>
            <w:r>
              <w:rPr>
                <w:rFonts w:hint="eastAsia" w:ascii="宋体" w:hAnsi="宋体" w:cs="宋体"/>
                <w:kern w:val="0"/>
                <w:szCs w:val="21"/>
              </w:rPr>
              <w:t>土方开挖</w:t>
            </w:r>
          </w:p>
        </w:tc>
        <w:tc>
          <w:tcPr>
            <w:tcW w:w="3119" w:type="dxa"/>
            <w:tcBorders>
              <w:top w:val="nil"/>
              <w:left w:val="nil"/>
              <w:bottom w:val="single" w:color="auto" w:sz="4" w:space="0"/>
              <w:right w:val="single" w:color="auto" w:sz="4" w:space="0"/>
            </w:tcBorders>
            <w:shd w:val="clear" w:color="auto" w:fill="auto"/>
            <w:noWrap/>
          </w:tcPr>
          <w:p>
            <w:pPr>
              <w:jc w:val="center"/>
              <w:rPr>
                <w:rFonts w:ascii="宋体" w:hAnsi="宋体" w:cs="宋体"/>
                <w:szCs w:val="21"/>
              </w:rPr>
            </w:pPr>
            <w:r>
              <w:rPr>
                <w:rFonts w:hint="eastAsia" w:ascii="宋体" w:hAnsi="宋体" w:cs="宋体"/>
                <w:kern w:val="0"/>
                <w:szCs w:val="21"/>
              </w:rPr>
              <w:t>实算</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szCs w:val="21"/>
              </w:rPr>
              <w:t>m</w:t>
            </w:r>
            <w:r>
              <w:rPr>
                <w:rFonts w:hint="eastAsia" w:ascii="宋体" w:hAnsi="宋体" w:cs="宋体"/>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225</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tcPr>
          <w:p>
            <w:pPr>
              <w:widowControl/>
              <w:jc w:val="center"/>
              <w:rPr>
                <w:rFonts w:ascii="宋体" w:hAnsi="宋体" w:cs="宋体"/>
                <w:kern w:val="0"/>
                <w:szCs w:val="21"/>
              </w:rPr>
            </w:pPr>
            <w:r>
              <w:rPr>
                <w:rFonts w:hint="eastAsia" w:ascii="宋体" w:hAnsi="宋体" w:cs="宋体"/>
                <w:kern w:val="0"/>
                <w:szCs w:val="21"/>
              </w:rPr>
              <w:t>土方回填</w:t>
            </w:r>
          </w:p>
        </w:tc>
        <w:tc>
          <w:tcPr>
            <w:tcW w:w="3119" w:type="dxa"/>
            <w:tcBorders>
              <w:top w:val="nil"/>
              <w:left w:val="nil"/>
              <w:bottom w:val="single" w:color="auto" w:sz="4" w:space="0"/>
              <w:right w:val="single" w:color="auto" w:sz="4" w:space="0"/>
            </w:tcBorders>
            <w:shd w:val="clear" w:color="auto" w:fill="auto"/>
            <w:noWrap/>
          </w:tcPr>
          <w:p>
            <w:pPr>
              <w:jc w:val="center"/>
              <w:rPr>
                <w:rFonts w:ascii="宋体" w:hAnsi="宋体" w:cs="宋体"/>
                <w:szCs w:val="21"/>
              </w:rPr>
            </w:pPr>
            <w:r>
              <w:rPr>
                <w:rFonts w:hint="eastAsia" w:ascii="宋体" w:hAnsi="宋体" w:cs="宋体"/>
                <w:kern w:val="0"/>
                <w:szCs w:val="21"/>
              </w:rPr>
              <w:t>实算</w:t>
            </w:r>
          </w:p>
        </w:tc>
        <w:tc>
          <w:tcPr>
            <w:tcW w:w="708"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200</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tcPr>
          <w:p>
            <w:pPr>
              <w:widowControl/>
              <w:jc w:val="center"/>
              <w:rPr>
                <w:rFonts w:ascii="宋体" w:hAnsi="宋体" w:cs="宋体"/>
                <w:kern w:val="0"/>
                <w:szCs w:val="21"/>
              </w:rPr>
            </w:pPr>
            <w:r>
              <w:rPr>
                <w:rFonts w:hint="eastAsia" w:ascii="宋体" w:hAnsi="宋体" w:cs="宋体"/>
                <w:kern w:val="0"/>
                <w:szCs w:val="21"/>
              </w:rPr>
              <w:t>砂浆抹面2cm</w:t>
            </w:r>
          </w:p>
        </w:tc>
        <w:tc>
          <w:tcPr>
            <w:tcW w:w="3119" w:type="dxa"/>
            <w:tcBorders>
              <w:top w:val="nil"/>
              <w:left w:val="nil"/>
              <w:bottom w:val="single" w:color="auto" w:sz="4" w:space="0"/>
              <w:right w:val="single" w:color="auto" w:sz="4" w:space="0"/>
            </w:tcBorders>
            <w:shd w:val="clear" w:color="auto" w:fill="auto"/>
            <w:noWrap/>
          </w:tcPr>
          <w:p>
            <w:pPr>
              <w:jc w:val="center"/>
              <w:rPr>
                <w:rFonts w:ascii="宋体" w:hAnsi="宋体" w:cs="宋体"/>
                <w:szCs w:val="21"/>
              </w:rPr>
            </w:pPr>
            <w:r>
              <w:rPr>
                <w:rFonts w:hint="eastAsia" w:ascii="宋体" w:hAnsi="宋体" w:cs="宋体"/>
                <w:szCs w:val="21"/>
              </w:rPr>
              <w:t>18×120</w:t>
            </w:r>
          </w:p>
        </w:tc>
        <w:tc>
          <w:tcPr>
            <w:tcW w:w="708"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2130</w:t>
            </w:r>
          </w:p>
        </w:tc>
      </w:tr>
      <w:tr>
        <w:tblPrEx>
          <w:tblCellMar>
            <w:top w:w="0" w:type="dxa"/>
            <w:left w:w="108" w:type="dxa"/>
            <w:bottom w:w="0" w:type="dxa"/>
            <w:right w:w="108" w:type="dxa"/>
          </w:tblCellMar>
        </w:tblPrEx>
        <w:trPr>
          <w:trHeight w:val="280"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tcPr>
          <w:p>
            <w:pPr>
              <w:widowControl/>
              <w:jc w:val="center"/>
              <w:rPr>
                <w:rFonts w:ascii="宋体" w:hAnsi="宋体" w:cs="宋体"/>
                <w:kern w:val="0"/>
                <w:szCs w:val="21"/>
              </w:rPr>
            </w:pPr>
            <w:r>
              <w:rPr>
                <w:rFonts w:hint="eastAsia" w:ascii="宋体" w:hAnsi="宋体" w:cs="宋体"/>
                <w:kern w:val="0"/>
                <w:szCs w:val="21"/>
              </w:rPr>
              <w:t>PVC泄水管</w:t>
            </w:r>
          </w:p>
        </w:tc>
        <w:tc>
          <w:tcPr>
            <w:tcW w:w="3119" w:type="dxa"/>
            <w:tcBorders>
              <w:top w:val="nil"/>
              <w:left w:val="nil"/>
              <w:bottom w:val="single" w:color="auto" w:sz="4" w:space="0"/>
              <w:right w:val="single" w:color="auto" w:sz="4" w:space="0"/>
            </w:tcBorders>
            <w:shd w:val="clear" w:color="auto" w:fill="auto"/>
            <w:noWrap/>
          </w:tcPr>
          <w:p>
            <w:pPr>
              <w:jc w:val="center"/>
              <w:rPr>
                <w:rFonts w:ascii="宋体" w:hAnsi="宋体" w:cs="宋体"/>
                <w:szCs w:val="21"/>
              </w:rPr>
            </w:pPr>
            <w:r>
              <w:rPr>
                <w:rFonts w:hint="eastAsia" w:ascii="宋体" w:hAnsi="宋体" w:cs="宋体"/>
                <w:szCs w:val="21"/>
              </w:rPr>
              <w:t>120÷2×0.22</w:t>
            </w:r>
          </w:p>
        </w:tc>
        <w:tc>
          <w:tcPr>
            <w:tcW w:w="708"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m</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13.2</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tcPr>
          <w:p>
            <w:pPr>
              <w:widowControl/>
              <w:jc w:val="center"/>
              <w:rPr>
                <w:rFonts w:ascii="宋体" w:hAnsi="宋体" w:cs="宋体"/>
                <w:kern w:val="0"/>
                <w:szCs w:val="21"/>
              </w:rPr>
            </w:pPr>
            <w:r>
              <w:rPr>
                <w:rFonts w:hint="eastAsia" w:ascii="宋体" w:hAnsi="宋体" w:cs="宋体"/>
                <w:kern w:val="0"/>
                <w:szCs w:val="21"/>
              </w:rPr>
              <w:t>浆砌块石</w:t>
            </w:r>
          </w:p>
        </w:tc>
        <w:tc>
          <w:tcPr>
            <w:tcW w:w="3119" w:type="dxa"/>
            <w:tcBorders>
              <w:top w:val="nil"/>
              <w:left w:val="nil"/>
              <w:bottom w:val="single" w:color="auto" w:sz="4" w:space="0"/>
              <w:right w:val="single" w:color="auto" w:sz="4" w:space="0"/>
            </w:tcBorders>
            <w:shd w:val="clear" w:color="auto" w:fill="auto"/>
            <w:noWrap/>
          </w:tcPr>
          <w:p>
            <w:pPr>
              <w:jc w:val="center"/>
              <w:rPr>
                <w:rFonts w:ascii="宋体" w:hAnsi="宋体" w:cs="宋体"/>
                <w:szCs w:val="21"/>
              </w:rPr>
            </w:pPr>
            <w:r>
              <w:rPr>
                <w:rFonts w:hint="eastAsia" w:ascii="宋体" w:hAnsi="宋体" w:cs="宋体"/>
                <w:szCs w:val="21"/>
              </w:rPr>
              <w:t>18×120×0.2</w:t>
            </w:r>
          </w:p>
        </w:tc>
        <w:tc>
          <w:tcPr>
            <w:tcW w:w="708"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432</w:t>
            </w:r>
          </w:p>
        </w:tc>
      </w:tr>
      <w:tr>
        <w:tblPrEx>
          <w:tblCellMar>
            <w:top w:w="0" w:type="dxa"/>
            <w:left w:w="108" w:type="dxa"/>
            <w:bottom w:w="0" w:type="dxa"/>
            <w:right w:w="108" w:type="dxa"/>
          </w:tblCellMar>
        </w:tblPrEx>
        <w:trPr>
          <w:trHeight w:val="310"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泄洪道</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挖方</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1.5×1×1×146</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219.00</w:t>
            </w:r>
          </w:p>
        </w:tc>
      </w:tr>
      <w:tr>
        <w:tblPrEx>
          <w:tblCellMar>
            <w:top w:w="0" w:type="dxa"/>
            <w:left w:w="108" w:type="dxa"/>
            <w:bottom w:w="0" w:type="dxa"/>
            <w:right w:w="108" w:type="dxa"/>
          </w:tblCellMar>
        </w:tblPrEx>
        <w:trPr>
          <w:trHeight w:val="78"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盖板（混凝土）</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1.5×1×0.2×146</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43.80</w:t>
            </w:r>
          </w:p>
        </w:tc>
      </w:tr>
      <w:tr>
        <w:tblPrEx>
          <w:tblCellMar>
            <w:top w:w="0" w:type="dxa"/>
            <w:left w:w="108" w:type="dxa"/>
            <w:bottom w:w="0" w:type="dxa"/>
            <w:right w:w="108" w:type="dxa"/>
          </w:tblCellMar>
        </w:tblPrEx>
        <w:trPr>
          <w:trHeight w:val="78"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浆砌块石</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0.3×1×0.8×2×146</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70.08</w:t>
            </w:r>
          </w:p>
        </w:tc>
      </w:tr>
      <w:tr>
        <w:tblPrEx>
          <w:tblCellMar>
            <w:top w:w="0" w:type="dxa"/>
            <w:left w:w="108" w:type="dxa"/>
            <w:bottom w:w="0" w:type="dxa"/>
            <w:right w:w="108" w:type="dxa"/>
          </w:tblCellMar>
        </w:tblPrEx>
        <w:trPr>
          <w:trHeight w:val="78"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现浇底板</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0.2×1.5×1×146</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43.80</w:t>
            </w:r>
          </w:p>
        </w:tc>
      </w:tr>
      <w:tr>
        <w:tblPrEx>
          <w:tblCellMar>
            <w:top w:w="0" w:type="dxa"/>
            <w:left w:w="108" w:type="dxa"/>
            <w:bottom w:w="0" w:type="dxa"/>
            <w:right w:w="108" w:type="dxa"/>
          </w:tblCellMar>
        </w:tblPrEx>
        <w:trPr>
          <w:trHeight w:val="156"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砂浆抹面</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1×0.8×2×146</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233.60</w:t>
            </w:r>
          </w:p>
        </w:tc>
      </w:tr>
      <w:tr>
        <w:tblPrEx>
          <w:tblCellMar>
            <w:top w:w="0" w:type="dxa"/>
            <w:left w:w="108" w:type="dxa"/>
            <w:bottom w:w="0" w:type="dxa"/>
            <w:right w:w="108" w:type="dxa"/>
          </w:tblCellMar>
        </w:tblPrEx>
        <w:trPr>
          <w:trHeight w:val="156" w:hRule="atLeast"/>
        </w:trPr>
        <w:tc>
          <w:tcPr>
            <w:tcW w:w="41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21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伸缩缝</w:t>
            </w:r>
          </w:p>
        </w:tc>
        <w:tc>
          <w:tcPr>
            <w:tcW w:w="31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0.02×0.7×146/5×2+0.02×1.24×146/5</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1.54</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rPr>
                <w:rFonts w:ascii="宋体" w:hAnsi="宋体" w:cs="宋体"/>
                <w:kern w:val="0"/>
                <w:szCs w:val="21"/>
              </w:rPr>
            </w:pPr>
            <w:r>
              <w:rPr>
                <w:rFonts w:hint="eastAsia" w:ascii="宋体" w:hAnsi="宋体" w:cs="宋体"/>
                <w:kern w:val="0"/>
                <w:szCs w:val="21"/>
              </w:rPr>
              <w:t>境外截水沟J2（842m）</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挖土方</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1.01×842（梯形）</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850.42</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弃方</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0.87×842（矩形）</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732.54</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浆砌块石</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0.6×0.3×842+0.6×0.32×842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313.22</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砼垫层(厚0.1m)</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1.24×0.1×842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104.41</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砂浆抹面(厚0.02m)</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0.58×2×842+0.62×842+0.64×842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2037.64</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伸缩缝（m</w:t>
            </w:r>
            <w:r>
              <w:rPr>
                <w:rFonts w:hint="eastAsia" w:ascii="宋体" w:hAnsi="宋体" w:cs="宋体"/>
                <w:kern w:val="0"/>
                <w:szCs w:val="21"/>
                <w:vertAlign w:val="superscript"/>
              </w:rPr>
              <w:t>2</w:t>
            </w:r>
            <w:r>
              <w:rPr>
                <w:rFonts w:hint="eastAsia" w:ascii="宋体" w:hAnsi="宋体" w:cs="宋体"/>
                <w:kern w:val="0"/>
                <w:szCs w:val="21"/>
              </w:rPr>
              <w:t>）</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0.02×0.7×842/5×2+0.02×1.24×842/5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8.89</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right w:val="single" w:color="auto" w:sz="4" w:space="0"/>
            </w:tcBorders>
            <w:vAlign w:val="center"/>
          </w:tcPr>
          <w:p>
            <w:pPr>
              <w:widowControl/>
              <w:jc w:val="center"/>
              <w:rPr>
                <w:rFonts w:ascii="宋体" w:hAnsi="宋体" w:cs="宋体"/>
                <w:kern w:val="0"/>
                <w:szCs w:val="21"/>
              </w:rPr>
            </w:pP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露采场围栏</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铁丝网围栏</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1×1321</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1321</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警示标志</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警示牌</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块</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w:t>
            </w:r>
          </w:p>
        </w:tc>
      </w:tr>
      <w:tr>
        <w:tblPrEx>
          <w:tblCellMar>
            <w:top w:w="0" w:type="dxa"/>
            <w:left w:w="108" w:type="dxa"/>
            <w:bottom w:w="0" w:type="dxa"/>
            <w:right w:w="108" w:type="dxa"/>
          </w:tblCellMar>
        </w:tblPrEx>
        <w:trPr>
          <w:trHeight w:val="285" w:hRule="atLeast"/>
        </w:trPr>
        <w:tc>
          <w:tcPr>
            <w:tcW w:w="41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四</w:t>
            </w:r>
          </w:p>
        </w:tc>
        <w:tc>
          <w:tcPr>
            <w:tcW w:w="77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监测工程</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地质灾害监测</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崩塌、滑坡、泥石流、地面塌陷监测</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7处，每处每月监测1次，汛期每周监测1次</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工班</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180</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34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水质监测</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7处，每处1个季度一组</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组</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336</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34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植被监测</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3处4年，每半年1次，每次4个工班</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工班</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96</w:t>
            </w:r>
          </w:p>
        </w:tc>
      </w:tr>
      <w:tr>
        <w:tblPrEx>
          <w:tblCellMar>
            <w:top w:w="0" w:type="dxa"/>
            <w:left w:w="108" w:type="dxa"/>
            <w:bottom w:w="0" w:type="dxa"/>
            <w:right w:w="108" w:type="dxa"/>
          </w:tblCellMar>
        </w:tblPrEx>
        <w:trPr>
          <w:trHeight w:val="285" w:hRule="atLeast"/>
        </w:trPr>
        <w:tc>
          <w:tcPr>
            <w:tcW w:w="41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五</w:t>
            </w:r>
          </w:p>
        </w:tc>
        <w:tc>
          <w:tcPr>
            <w:tcW w:w="77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管护工程</w:t>
            </w:r>
          </w:p>
        </w:tc>
        <w:tc>
          <w:tcPr>
            <w:tcW w:w="34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面积</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总复垦修复区</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hm</w:t>
            </w:r>
            <w:r>
              <w:rPr>
                <w:rFonts w:hint="eastAsia" w:ascii="宋体" w:hAnsi="宋体" w:cs="宋体"/>
                <w:kern w:val="0"/>
                <w:szCs w:val="21"/>
                <w:vertAlign w:val="superscript"/>
              </w:rPr>
              <w:t>2</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2.5622</w:t>
            </w:r>
          </w:p>
        </w:tc>
      </w:tr>
      <w:tr>
        <w:tblPrEx>
          <w:tblCellMar>
            <w:top w:w="0" w:type="dxa"/>
            <w:left w:w="108" w:type="dxa"/>
            <w:bottom w:w="0" w:type="dxa"/>
            <w:right w:w="108" w:type="dxa"/>
          </w:tblCellMar>
        </w:tblPrEx>
        <w:trPr>
          <w:trHeight w:val="28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77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34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年限</w:t>
            </w:r>
          </w:p>
        </w:tc>
        <w:tc>
          <w:tcPr>
            <w:tcW w:w="31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植树种草后三年</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年</w:t>
            </w:r>
          </w:p>
        </w:tc>
        <w:tc>
          <w:tcPr>
            <w:tcW w:w="10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r>
    </w:tbl>
    <w:p>
      <w:pPr>
        <w:pStyle w:val="4"/>
        <w:spacing w:before="120" w:after="120" w:line="470" w:lineRule="exact"/>
        <w:jc w:val="left"/>
        <w:rPr>
          <w:rFonts w:ascii="Times New Roman" w:hAnsi="Times New Roman" w:eastAsia="宋体"/>
          <w:b w:val="0"/>
          <w:bCs w:val="0"/>
          <w:sz w:val="28"/>
        </w:rPr>
      </w:pPr>
      <w:bookmarkStart w:id="76" w:name="_Toc130937640"/>
      <w:r>
        <w:rPr>
          <w:rFonts w:ascii="Times New Roman" w:hAnsi="Times New Roman" w:eastAsia="宋体"/>
          <w:b w:val="0"/>
          <w:bCs w:val="0"/>
          <w:sz w:val="28"/>
        </w:rPr>
        <w:t>四、生态保护修复工程进度安排</w:t>
      </w:r>
      <w:bookmarkEnd w:id="76"/>
    </w:p>
    <w:p>
      <w:pPr>
        <w:spacing w:line="470" w:lineRule="exact"/>
        <w:ind w:firstLine="480" w:firstLineChars="200"/>
        <w:rPr>
          <w:sz w:val="24"/>
        </w:rPr>
      </w:pPr>
      <w:r>
        <w:rPr>
          <w:sz w:val="24"/>
        </w:rPr>
        <w:t>根据《开发利用方案》推荐的开采方式、服务年限等，矿山生态保护修复工程必须严格按照国家有关法律法规和技术规程、规范要求，循序渐进，精心施工，本方案的工程总体部署分为三期：</w:t>
      </w:r>
    </w:p>
    <w:p>
      <w:pPr>
        <w:spacing w:line="470" w:lineRule="exact"/>
        <w:ind w:firstLine="480" w:firstLineChars="200"/>
        <w:rPr>
          <w:sz w:val="24"/>
        </w:rPr>
      </w:pPr>
      <w:r>
        <w:rPr>
          <w:sz w:val="24"/>
        </w:rPr>
        <w:t>1、开采期（2023年3月～2030年12月）</w:t>
      </w:r>
    </w:p>
    <w:p>
      <w:pPr>
        <w:spacing w:line="470" w:lineRule="exact"/>
        <w:ind w:firstLine="480" w:firstLineChars="200"/>
        <w:rPr>
          <w:sz w:val="24"/>
        </w:rPr>
      </w:pPr>
      <w:r>
        <w:rPr>
          <w:sz w:val="24"/>
        </w:rPr>
        <w:t>根据“预防为主、治理为辅”的原则，优先对矿山即将正式开采的场地部分进行治理。矿山开采期间主要开展以下矿山生态保护修复工程：</w:t>
      </w:r>
    </w:p>
    <w:p>
      <w:pPr>
        <w:spacing w:line="470" w:lineRule="exact"/>
        <w:ind w:firstLine="480" w:firstLineChars="200"/>
        <w:rPr>
          <w:sz w:val="24"/>
        </w:rPr>
      </w:pPr>
      <w:r>
        <w:rPr>
          <w:sz w:val="24"/>
        </w:rPr>
        <w:t>（1）生态保护工程</w:t>
      </w:r>
    </w:p>
    <w:p>
      <w:pPr>
        <w:spacing w:line="470" w:lineRule="exact"/>
        <w:ind w:firstLine="480" w:firstLineChars="200"/>
        <w:rPr>
          <w:sz w:val="24"/>
        </w:rPr>
      </w:pPr>
      <w:r>
        <w:rPr>
          <w:sz w:val="24"/>
        </w:rPr>
        <w:t>生态环境保护宣传栏4块</w:t>
      </w:r>
    </w:p>
    <w:p>
      <w:pPr>
        <w:spacing w:line="470" w:lineRule="exact"/>
        <w:ind w:firstLine="480" w:firstLineChars="200"/>
        <w:rPr>
          <w:sz w:val="24"/>
        </w:rPr>
      </w:pPr>
      <w:r>
        <w:rPr>
          <w:sz w:val="24"/>
        </w:rPr>
        <w:t>（2）水生态水环境保护工程</w:t>
      </w:r>
    </w:p>
    <w:p>
      <w:pPr>
        <w:spacing w:line="470" w:lineRule="exact"/>
        <w:ind w:firstLine="480" w:firstLineChars="200"/>
        <w:rPr>
          <w:sz w:val="24"/>
        </w:rPr>
      </w:pPr>
      <w:r>
        <w:rPr>
          <w:sz w:val="24"/>
        </w:rPr>
        <w:t>工业广场沉淀池1个。</w:t>
      </w:r>
    </w:p>
    <w:p>
      <w:pPr>
        <w:spacing w:line="470" w:lineRule="exact"/>
        <w:ind w:firstLine="480" w:firstLineChars="200"/>
        <w:rPr>
          <w:sz w:val="24"/>
        </w:rPr>
      </w:pPr>
      <w:r>
        <w:rPr>
          <w:sz w:val="24"/>
        </w:rPr>
        <w:t>（3）地质灾害安全隐患消除工程</w:t>
      </w:r>
    </w:p>
    <w:p>
      <w:pPr>
        <w:spacing w:line="470" w:lineRule="exact"/>
        <w:ind w:firstLine="480" w:firstLineChars="200"/>
        <w:rPr>
          <w:sz w:val="24"/>
        </w:rPr>
      </w:pPr>
      <w:r>
        <w:rPr>
          <w:sz w:val="24"/>
        </w:rPr>
        <w:t>露采场东南边坡土质边坡清理工程；露采场境界排水沟J1工程；泄洪道排水工程；</w:t>
      </w:r>
    </w:p>
    <w:p>
      <w:pPr>
        <w:spacing w:line="470" w:lineRule="exact"/>
        <w:ind w:firstLine="480" w:firstLineChars="200"/>
        <w:rPr>
          <w:sz w:val="24"/>
        </w:rPr>
      </w:pPr>
      <w:r>
        <w:rPr>
          <w:sz w:val="24"/>
        </w:rPr>
        <w:t>（4）生态修复工程</w:t>
      </w:r>
    </w:p>
    <w:p>
      <w:pPr>
        <w:spacing w:line="470" w:lineRule="exact"/>
        <w:ind w:firstLine="480" w:firstLineChars="200"/>
        <w:rPr>
          <w:sz w:val="24"/>
        </w:rPr>
      </w:pPr>
      <w:r>
        <w:rPr>
          <w:rFonts w:hint="eastAsia" w:ascii="宋体" w:hAnsi="宋体" w:cs="宋体"/>
          <w:sz w:val="24"/>
        </w:rPr>
        <w:t>①</w:t>
      </w:r>
      <w:r>
        <w:rPr>
          <w:sz w:val="24"/>
        </w:rPr>
        <w:t>露采场（Lc1）按修复计划将不在开采的露采平台复垦为灌木林草地，边坡加上锚杆钉，挂绿色土工网，边坡底部种植爬山虎。</w:t>
      </w:r>
    </w:p>
    <w:p>
      <w:pPr>
        <w:spacing w:line="470" w:lineRule="exact"/>
        <w:ind w:firstLine="480" w:firstLineChars="200"/>
        <w:rPr>
          <w:sz w:val="24"/>
        </w:rPr>
      </w:pPr>
      <w:r>
        <w:rPr>
          <w:rFonts w:hint="eastAsia" w:ascii="宋体" w:hAnsi="宋体" w:cs="宋体"/>
          <w:sz w:val="24"/>
        </w:rPr>
        <w:t>②</w:t>
      </w:r>
      <w:r>
        <w:rPr>
          <w:sz w:val="24"/>
        </w:rPr>
        <w:t>监测工程：采场沉淀池排水口水质监测、露采场边坡稳定性监测；同时对采场下游耕地进行土壤环境质量监测；</w:t>
      </w:r>
    </w:p>
    <w:p>
      <w:pPr>
        <w:spacing w:line="470" w:lineRule="exact"/>
        <w:ind w:firstLine="480" w:firstLineChars="200"/>
        <w:rPr>
          <w:sz w:val="24"/>
        </w:rPr>
      </w:pPr>
      <w:r>
        <w:rPr>
          <w:rFonts w:hint="eastAsia" w:ascii="宋体" w:hAnsi="宋体" w:cs="宋体"/>
          <w:sz w:val="24"/>
        </w:rPr>
        <w:t>③</w:t>
      </w:r>
      <w:r>
        <w:rPr>
          <w:sz w:val="24"/>
        </w:rPr>
        <w:t>管护工程：按计划，对复垦后的灌木林地、边坡草地进行实时管护，保证植被成活。</w:t>
      </w:r>
    </w:p>
    <w:p>
      <w:pPr>
        <w:spacing w:line="470" w:lineRule="exact"/>
        <w:ind w:firstLine="480" w:firstLineChars="200"/>
        <w:rPr>
          <w:sz w:val="24"/>
        </w:rPr>
      </w:pPr>
      <w:r>
        <w:rPr>
          <w:rFonts w:hint="eastAsia" w:ascii="宋体" w:hAnsi="宋体" w:cs="宋体"/>
          <w:sz w:val="24"/>
        </w:rPr>
        <w:t>④</w:t>
      </w:r>
      <w:r>
        <w:rPr>
          <w:sz w:val="24"/>
        </w:rPr>
        <w:t>矿山开采期间对突发矿山生态环境问题进行保护修复，确保保护修复与生产同步实施。</w:t>
      </w:r>
    </w:p>
    <w:p>
      <w:pPr>
        <w:spacing w:line="470" w:lineRule="exact"/>
        <w:ind w:firstLine="480" w:firstLineChars="200"/>
        <w:rPr>
          <w:sz w:val="24"/>
        </w:rPr>
      </w:pPr>
      <w:r>
        <w:rPr>
          <w:sz w:val="24"/>
        </w:rPr>
        <w:t>（5）年度工作安排</w:t>
      </w:r>
    </w:p>
    <w:p>
      <w:pPr>
        <w:spacing w:line="470" w:lineRule="exact"/>
        <w:ind w:firstLine="480" w:firstLineChars="200"/>
        <w:rPr>
          <w:sz w:val="24"/>
        </w:rPr>
      </w:pPr>
      <w:r>
        <w:rPr>
          <w:sz w:val="24"/>
        </w:rPr>
        <w:t>第一年：（a）现在已经在进行削坡覆土的东南侧，进行草籽复绿，斜坡面积约为</w:t>
      </w:r>
      <w:r>
        <w:rPr>
          <w:rFonts w:hint="eastAsia"/>
          <w:sz w:val="24"/>
        </w:rPr>
        <w:t>***</w:t>
      </w:r>
      <w:r>
        <w:rPr>
          <w:sz w:val="24"/>
        </w:rPr>
        <w:t>平方米，根据开发利用方案，首年度在南侧开采形成（+90到最低开采标高的4阶平台，边坡长度约为</w:t>
      </w:r>
      <w:r>
        <w:rPr>
          <w:rFonts w:hint="eastAsia"/>
          <w:sz w:val="24"/>
        </w:rPr>
        <w:t>***</w:t>
      </w:r>
      <w:r>
        <w:rPr>
          <w:sz w:val="24"/>
        </w:rPr>
        <w:t>米），在此区域内进行边坡修复工作；（b）露采场沉淀池的修建，并进行清淤工作；（c）境外截水沟的修建；（d）设置铁防护栏和警示牌，沿着矿界。</w:t>
      </w:r>
    </w:p>
    <w:p>
      <w:pPr>
        <w:spacing w:line="470" w:lineRule="exact"/>
        <w:ind w:firstLine="480" w:firstLineChars="200"/>
        <w:rPr>
          <w:sz w:val="24"/>
        </w:rPr>
      </w:pPr>
      <w:r>
        <w:rPr>
          <w:sz w:val="24"/>
        </w:rPr>
        <w:t>往后的开采按照开发利用方案设计的顺序开采，由东南到西北侧，依次开采，依次形成相应的平台，在进行复绿工作（包扣平台覆土、安装防护栏、锚钉的安装工作、种植爬山虎、种植灌木等），具体工程量见工程部署图和年度工作</w:t>
      </w:r>
      <w:r>
        <w:rPr>
          <w:rFonts w:hint="eastAsia"/>
          <w:sz w:val="24"/>
        </w:rPr>
        <w:t>计划</w:t>
      </w:r>
      <w:r>
        <w:rPr>
          <w:sz w:val="24"/>
        </w:rPr>
        <w:t>表。（详见</w:t>
      </w:r>
      <w:r>
        <w:rPr>
          <w:rFonts w:hint="eastAsia"/>
          <w:sz w:val="24"/>
        </w:rPr>
        <w:t>表4-19</w:t>
      </w:r>
      <w:r>
        <w:rPr>
          <w:sz w:val="24"/>
        </w:rPr>
        <w:t>）</w:t>
      </w:r>
    </w:p>
    <w:p>
      <w:pPr>
        <w:snapToGrid w:val="0"/>
        <w:spacing w:line="460" w:lineRule="exact"/>
        <w:rPr>
          <w:sz w:val="24"/>
        </w:rPr>
      </w:pPr>
      <w:r>
        <w:rPr>
          <w:sz w:val="24"/>
        </w:rPr>
        <w:t>2、闭采修复期（2031年1月～2031年12月）</w:t>
      </w:r>
    </w:p>
    <w:p>
      <w:pPr>
        <w:spacing w:line="470" w:lineRule="exact"/>
        <w:ind w:firstLine="480" w:firstLineChars="200"/>
        <w:rPr>
          <w:sz w:val="24"/>
        </w:rPr>
      </w:pPr>
      <w:r>
        <w:rPr>
          <w:sz w:val="24"/>
        </w:rPr>
        <w:t>按照“谁破坏、谁治理、谁复垦”的原则，矿山做好以下矿山生态保护修复工程：</w:t>
      </w:r>
    </w:p>
    <w:p>
      <w:pPr>
        <w:spacing w:line="470" w:lineRule="exact"/>
        <w:ind w:left="780" w:leftChars="200" w:hanging="360"/>
        <w:rPr>
          <w:sz w:val="24"/>
        </w:rPr>
      </w:pPr>
      <w:r>
        <w:rPr>
          <w:sz w:val="24"/>
        </w:rPr>
        <w:t>（1）矿部、工业广场及地面建设区部分转型利用为建设用地，进行建筑物拆除，渣土清运等工作，非建设用地区域修复为林地。</w:t>
      </w:r>
    </w:p>
    <w:p>
      <w:pPr>
        <w:spacing w:line="470" w:lineRule="exact"/>
        <w:ind w:firstLine="480" w:firstLineChars="200"/>
        <w:rPr>
          <w:sz w:val="24"/>
        </w:rPr>
      </w:pPr>
      <w:r>
        <w:rPr>
          <w:sz w:val="24"/>
        </w:rPr>
        <w:t>（2）露采场底盘修复为水池。</w:t>
      </w:r>
    </w:p>
    <w:p>
      <w:pPr>
        <w:spacing w:line="470" w:lineRule="exact"/>
        <w:ind w:firstLine="480" w:firstLineChars="200"/>
        <w:rPr>
          <w:sz w:val="24"/>
        </w:rPr>
      </w:pPr>
      <w:r>
        <w:rPr>
          <w:sz w:val="24"/>
        </w:rPr>
        <w:t>（3）在东北侧修建泄洪道，以防在往后积水超过60高度的时候，对外进行排水。</w:t>
      </w:r>
    </w:p>
    <w:p>
      <w:pPr>
        <w:snapToGrid w:val="0"/>
        <w:spacing w:line="460" w:lineRule="exact"/>
        <w:rPr>
          <w:sz w:val="24"/>
        </w:rPr>
      </w:pPr>
      <w:r>
        <w:rPr>
          <w:sz w:val="24"/>
        </w:rPr>
        <w:t>3、监测管护期（2032年1月～2034年12月）</w:t>
      </w:r>
    </w:p>
    <w:p>
      <w:pPr>
        <w:spacing w:line="470" w:lineRule="exact"/>
        <w:ind w:firstLine="480" w:firstLineChars="200"/>
        <w:rPr>
          <w:sz w:val="24"/>
        </w:rPr>
      </w:pPr>
      <w:r>
        <w:rPr>
          <w:sz w:val="24"/>
        </w:rPr>
        <w:t>对矿山生态修复单元进行监测管护工作，管护工作与生态修复工程实施的时期基本一致，全部修复工程完工后，在顺延三年，防止修复土地的退化，保证植树三年后成活率70%以上、郁闭度30%以上。</w:t>
      </w:r>
    </w:p>
    <w:p>
      <w:pPr>
        <w:spacing w:line="470" w:lineRule="exact"/>
        <w:ind w:firstLine="480" w:firstLineChars="200"/>
        <w:rPr>
          <w:sz w:val="24"/>
        </w:rPr>
        <w:sectPr>
          <w:pgSz w:w="11906" w:h="16838"/>
          <w:pgMar w:top="1418" w:right="1247" w:bottom="1418" w:left="1247" w:header="720" w:footer="720" w:gutter="0"/>
          <w:cols w:space="720" w:num="1"/>
          <w:docGrid w:linePitch="286" w:charSpace="0"/>
        </w:sectPr>
      </w:pPr>
      <w:r>
        <w:rPr>
          <w:sz w:val="24"/>
        </w:rPr>
        <w:t xml:space="preserve"> 根据“边生产、边治理、边复垦”的原则及本矿山工程建设特点和开采时序进度安排。其中包扣每年度的地质灾害监测和水质监测等。</w:t>
      </w:r>
    </w:p>
    <w:tbl>
      <w:tblPr>
        <w:tblStyle w:val="35"/>
        <w:tblpPr w:leftFromText="180" w:rightFromText="180" w:vertAnchor="text" w:horzAnchor="page" w:tblpX="1355" w:tblpY="4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798"/>
        <w:gridCol w:w="618"/>
        <w:gridCol w:w="1583"/>
        <w:gridCol w:w="1583"/>
        <w:gridCol w:w="1583"/>
        <w:gridCol w:w="1583"/>
        <w:gridCol w:w="1583"/>
        <w:gridCol w:w="1583"/>
        <w:gridCol w:w="1583"/>
        <w:gridCol w:w="1583"/>
        <w:gridCol w:w="1583"/>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0" w:type="auto"/>
            <w:vMerge w:val="restart"/>
            <w:vAlign w:val="center"/>
          </w:tcPr>
          <w:p>
            <w:pPr>
              <w:pStyle w:val="93"/>
              <w:jc w:val="center"/>
              <w:rPr>
                <w:b/>
                <w:bCs/>
                <w:kern w:val="0"/>
                <w:sz w:val="20"/>
                <w:szCs w:val="21"/>
              </w:rPr>
            </w:pPr>
            <w:r>
              <w:rPr>
                <w:b/>
                <w:bCs/>
                <w:kern w:val="0"/>
                <w:sz w:val="20"/>
                <w:szCs w:val="21"/>
              </w:rPr>
              <w:t>修复工程</w:t>
            </w:r>
          </w:p>
        </w:tc>
        <w:tc>
          <w:tcPr>
            <w:tcW w:w="0" w:type="auto"/>
            <w:gridSpan w:val="2"/>
            <w:vMerge w:val="restart"/>
            <w:tcBorders>
              <w:tl2br w:val="single" w:color="auto" w:sz="4" w:space="0"/>
            </w:tcBorders>
            <w:vAlign w:val="center"/>
          </w:tcPr>
          <w:p>
            <w:pPr>
              <w:pStyle w:val="93"/>
              <w:rPr>
                <w:b/>
                <w:bCs/>
                <w:kern w:val="0"/>
                <w:sz w:val="20"/>
                <w:szCs w:val="21"/>
              </w:rPr>
            </w:pPr>
          </w:p>
        </w:tc>
        <w:tc>
          <w:tcPr>
            <w:tcW w:w="0" w:type="auto"/>
            <w:vAlign w:val="center"/>
          </w:tcPr>
          <w:p>
            <w:pPr>
              <w:pStyle w:val="93"/>
              <w:jc w:val="center"/>
              <w:rPr>
                <w:b/>
                <w:bCs/>
                <w:kern w:val="0"/>
                <w:sz w:val="20"/>
                <w:szCs w:val="21"/>
              </w:rPr>
            </w:pPr>
            <w:r>
              <w:rPr>
                <w:kern w:val="0"/>
                <w:sz w:val="20"/>
                <w:szCs w:val="20"/>
              </w:rPr>
              <w:t>2023.03-2024.02</w:t>
            </w:r>
          </w:p>
        </w:tc>
        <w:tc>
          <w:tcPr>
            <w:tcW w:w="0" w:type="auto"/>
            <w:vAlign w:val="center"/>
          </w:tcPr>
          <w:p>
            <w:pPr>
              <w:pStyle w:val="93"/>
              <w:jc w:val="center"/>
              <w:rPr>
                <w:b/>
                <w:bCs/>
                <w:kern w:val="0"/>
                <w:sz w:val="20"/>
                <w:szCs w:val="21"/>
              </w:rPr>
            </w:pPr>
            <w:r>
              <w:rPr>
                <w:kern w:val="0"/>
                <w:sz w:val="20"/>
                <w:szCs w:val="20"/>
              </w:rPr>
              <w:t>2024.03-2025.02</w:t>
            </w:r>
          </w:p>
        </w:tc>
        <w:tc>
          <w:tcPr>
            <w:tcW w:w="0" w:type="auto"/>
            <w:vAlign w:val="center"/>
          </w:tcPr>
          <w:p>
            <w:pPr>
              <w:pStyle w:val="93"/>
              <w:jc w:val="center"/>
              <w:rPr>
                <w:b/>
                <w:bCs/>
                <w:kern w:val="0"/>
                <w:sz w:val="20"/>
                <w:szCs w:val="21"/>
              </w:rPr>
            </w:pPr>
            <w:r>
              <w:rPr>
                <w:kern w:val="0"/>
                <w:sz w:val="20"/>
                <w:szCs w:val="20"/>
              </w:rPr>
              <w:t>2025.03-2026.02</w:t>
            </w:r>
          </w:p>
        </w:tc>
        <w:tc>
          <w:tcPr>
            <w:tcW w:w="0" w:type="auto"/>
            <w:vAlign w:val="center"/>
          </w:tcPr>
          <w:p>
            <w:pPr>
              <w:pStyle w:val="93"/>
              <w:jc w:val="center"/>
              <w:rPr>
                <w:b/>
                <w:bCs/>
                <w:kern w:val="0"/>
                <w:sz w:val="20"/>
                <w:szCs w:val="21"/>
              </w:rPr>
            </w:pPr>
            <w:r>
              <w:rPr>
                <w:kern w:val="0"/>
                <w:sz w:val="20"/>
                <w:szCs w:val="20"/>
              </w:rPr>
              <w:t>2026.03-2027.02</w:t>
            </w:r>
          </w:p>
        </w:tc>
        <w:tc>
          <w:tcPr>
            <w:tcW w:w="0" w:type="auto"/>
            <w:vAlign w:val="center"/>
          </w:tcPr>
          <w:p>
            <w:pPr>
              <w:pStyle w:val="93"/>
              <w:jc w:val="center"/>
              <w:rPr>
                <w:b/>
                <w:bCs/>
                <w:kern w:val="0"/>
                <w:sz w:val="20"/>
                <w:szCs w:val="21"/>
              </w:rPr>
            </w:pPr>
            <w:r>
              <w:rPr>
                <w:kern w:val="0"/>
                <w:sz w:val="20"/>
                <w:szCs w:val="20"/>
              </w:rPr>
              <w:t>2027.03-2028.02</w:t>
            </w:r>
          </w:p>
        </w:tc>
        <w:tc>
          <w:tcPr>
            <w:tcW w:w="0" w:type="auto"/>
            <w:vAlign w:val="center"/>
          </w:tcPr>
          <w:p>
            <w:pPr>
              <w:pStyle w:val="93"/>
              <w:jc w:val="center"/>
              <w:rPr>
                <w:b/>
                <w:bCs/>
                <w:kern w:val="0"/>
                <w:sz w:val="20"/>
                <w:szCs w:val="21"/>
              </w:rPr>
            </w:pPr>
            <w:r>
              <w:rPr>
                <w:kern w:val="0"/>
                <w:sz w:val="20"/>
                <w:szCs w:val="20"/>
              </w:rPr>
              <w:t>2028.03-2029.02</w:t>
            </w:r>
          </w:p>
        </w:tc>
        <w:tc>
          <w:tcPr>
            <w:tcW w:w="0" w:type="auto"/>
            <w:vAlign w:val="center"/>
          </w:tcPr>
          <w:p>
            <w:pPr>
              <w:pStyle w:val="93"/>
              <w:jc w:val="center"/>
              <w:rPr>
                <w:b/>
                <w:bCs/>
                <w:kern w:val="0"/>
                <w:sz w:val="20"/>
                <w:szCs w:val="21"/>
              </w:rPr>
            </w:pPr>
            <w:r>
              <w:rPr>
                <w:kern w:val="0"/>
                <w:sz w:val="20"/>
                <w:szCs w:val="20"/>
              </w:rPr>
              <w:t>2029.03-2030.12</w:t>
            </w:r>
          </w:p>
        </w:tc>
        <w:tc>
          <w:tcPr>
            <w:tcW w:w="0" w:type="auto"/>
            <w:vAlign w:val="center"/>
          </w:tcPr>
          <w:p>
            <w:pPr>
              <w:pStyle w:val="93"/>
              <w:jc w:val="center"/>
              <w:rPr>
                <w:kern w:val="0"/>
                <w:sz w:val="20"/>
                <w:szCs w:val="20"/>
              </w:rPr>
            </w:pPr>
            <w:r>
              <w:rPr>
                <w:kern w:val="0"/>
                <w:sz w:val="20"/>
                <w:szCs w:val="20"/>
              </w:rPr>
              <w:t>2031.01-2031.12</w:t>
            </w:r>
          </w:p>
        </w:tc>
        <w:tc>
          <w:tcPr>
            <w:tcW w:w="0" w:type="auto"/>
            <w:vAlign w:val="center"/>
          </w:tcPr>
          <w:p>
            <w:pPr>
              <w:pStyle w:val="93"/>
              <w:jc w:val="center"/>
              <w:rPr>
                <w:kern w:val="0"/>
                <w:sz w:val="20"/>
                <w:szCs w:val="20"/>
              </w:rPr>
            </w:pPr>
            <w:r>
              <w:rPr>
                <w:kern w:val="0"/>
                <w:sz w:val="20"/>
                <w:szCs w:val="20"/>
              </w:rPr>
              <w:t>2032.01-2034.12</w:t>
            </w:r>
          </w:p>
        </w:tc>
        <w:tc>
          <w:tcPr>
            <w:tcW w:w="0" w:type="auto"/>
            <w:vAlign w:val="center"/>
          </w:tcPr>
          <w:p>
            <w:pPr>
              <w:pStyle w:val="93"/>
              <w:jc w:val="center"/>
              <w:rPr>
                <w:kern w:val="0"/>
                <w:sz w:val="20"/>
                <w:szCs w:val="20"/>
              </w:rPr>
            </w:pPr>
            <w:r>
              <w:rPr>
                <w:kern w:val="0"/>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0" w:type="auto"/>
            <w:vMerge w:val="continue"/>
            <w:vAlign w:val="center"/>
          </w:tcPr>
          <w:p>
            <w:pPr>
              <w:pStyle w:val="93"/>
              <w:jc w:val="center"/>
              <w:rPr>
                <w:b/>
                <w:bCs/>
                <w:kern w:val="0"/>
                <w:sz w:val="20"/>
                <w:szCs w:val="21"/>
              </w:rPr>
            </w:pPr>
          </w:p>
        </w:tc>
        <w:tc>
          <w:tcPr>
            <w:tcW w:w="0" w:type="auto"/>
            <w:gridSpan w:val="2"/>
            <w:vMerge w:val="continue"/>
            <w:vAlign w:val="center"/>
          </w:tcPr>
          <w:p>
            <w:pPr>
              <w:pStyle w:val="93"/>
              <w:jc w:val="center"/>
              <w:rPr>
                <w:b/>
                <w:bCs/>
                <w:kern w:val="0"/>
                <w:sz w:val="20"/>
                <w:szCs w:val="21"/>
              </w:rPr>
            </w:pPr>
          </w:p>
        </w:tc>
        <w:tc>
          <w:tcPr>
            <w:tcW w:w="0" w:type="auto"/>
            <w:vAlign w:val="center"/>
          </w:tcPr>
          <w:p>
            <w:pPr>
              <w:pStyle w:val="93"/>
              <w:jc w:val="center"/>
              <w:rPr>
                <w:b/>
                <w:bCs/>
                <w:kern w:val="0"/>
                <w:sz w:val="20"/>
                <w:szCs w:val="21"/>
              </w:rPr>
            </w:pPr>
            <w:r>
              <w:rPr>
                <w:kern w:val="0"/>
                <w:sz w:val="20"/>
                <w:szCs w:val="20"/>
              </w:rPr>
              <w:t>第1年</w:t>
            </w:r>
          </w:p>
        </w:tc>
        <w:tc>
          <w:tcPr>
            <w:tcW w:w="0" w:type="auto"/>
            <w:vAlign w:val="center"/>
          </w:tcPr>
          <w:p>
            <w:pPr>
              <w:pStyle w:val="93"/>
              <w:jc w:val="center"/>
              <w:rPr>
                <w:b/>
                <w:bCs/>
                <w:kern w:val="0"/>
                <w:sz w:val="20"/>
                <w:szCs w:val="21"/>
              </w:rPr>
            </w:pPr>
            <w:r>
              <w:rPr>
                <w:kern w:val="0"/>
                <w:sz w:val="20"/>
                <w:szCs w:val="20"/>
              </w:rPr>
              <w:t>第2年</w:t>
            </w:r>
          </w:p>
        </w:tc>
        <w:tc>
          <w:tcPr>
            <w:tcW w:w="0" w:type="auto"/>
            <w:vAlign w:val="center"/>
          </w:tcPr>
          <w:p>
            <w:pPr>
              <w:pStyle w:val="93"/>
              <w:jc w:val="center"/>
              <w:rPr>
                <w:b/>
                <w:bCs/>
                <w:kern w:val="0"/>
                <w:sz w:val="20"/>
                <w:szCs w:val="21"/>
              </w:rPr>
            </w:pPr>
            <w:r>
              <w:rPr>
                <w:kern w:val="0"/>
                <w:sz w:val="20"/>
                <w:szCs w:val="20"/>
              </w:rPr>
              <w:t>第3年</w:t>
            </w:r>
          </w:p>
        </w:tc>
        <w:tc>
          <w:tcPr>
            <w:tcW w:w="0" w:type="auto"/>
            <w:vAlign w:val="center"/>
          </w:tcPr>
          <w:p>
            <w:pPr>
              <w:pStyle w:val="93"/>
              <w:jc w:val="center"/>
              <w:rPr>
                <w:b/>
                <w:bCs/>
                <w:kern w:val="0"/>
                <w:sz w:val="20"/>
                <w:szCs w:val="21"/>
              </w:rPr>
            </w:pPr>
            <w:r>
              <w:rPr>
                <w:kern w:val="0"/>
                <w:sz w:val="20"/>
                <w:szCs w:val="20"/>
              </w:rPr>
              <w:t>第4年</w:t>
            </w:r>
          </w:p>
        </w:tc>
        <w:tc>
          <w:tcPr>
            <w:tcW w:w="0" w:type="auto"/>
            <w:vAlign w:val="center"/>
          </w:tcPr>
          <w:p>
            <w:pPr>
              <w:pStyle w:val="93"/>
              <w:jc w:val="center"/>
              <w:rPr>
                <w:b/>
                <w:bCs/>
                <w:kern w:val="0"/>
                <w:sz w:val="20"/>
                <w:szCs w:val="21"/>
              </w:rPr>
            </w:pPr>
            <w:r>
              <w:rPr>
                <w:kern w:val="0"/>
                <w:sz w:val="20"/>
                <w:szCs w:val="20"/>
              </w:rPr>
              <w:t>第5年</w:t>
            </w:r>
          </w:p>
        </w:tc>
        <w:tc>
          <w:tcPr>
            <w:tcW w:w="0" w:type="auto"/>
            <w:vAlign w:val="center"/>
          </w:tcPr>
          <w:p>
            <w:pPr>
              <w:pStyle w:val="93"/>
              <w:jc w:val="center"/>
              <w:rPr>
                <w:b/>
                <w:bCs/>
                <w:kern w:val="0"/>
                <w:sz w:val="20"/>
                <w:szCs w:val="21"/>
              </w:rPr>
            </w:pPr>
            <w:r>
              <w:rPr>
                <w:kern w:val="0"/>
                <w:sz w:val="20"/>
                <w:szCs w:val="20"/>
              </w:rPr>
              <w:t>第6年</w:t>
            </w:r>
          </w:p>
        </w:tc>
        <w:tc>
          <w:tcPr>
            <w:tcW w:w="0" w:type="auto"/>
            <w:vAlign w:val="center"/>
          </w:tcPr>
          <w:p>
            <w:pPr>
              <w:pStyle w:val="93"/>
              <w:jc w:val="center"/>
              <w:rPr>
                <w:b/>
                <w:bCs/>
                <w:kern w:val="0"/>
                <w:sz w:val="20"/>
                <w:szCs w:val="21"/>
              </w:rPr>
            </w:pPr>
            <w:r>
              <w:rPr>
                <w:kern w:val="0"/>
                <w:szCs w:val="21"/>
              </w:rPr>
              <w:t>第7.-7.7年</w:t>
            </w:r>
          </w:p>
        </w:tc>
        <w:tc>
          <w:tcPr>
            <w:tcW w:w="0" w:type="auto"/>
            <w:vAlign w:val="center"/>
          </w:tcPr>
          <w:p>
            <w:pPr>
              <w:pStyle w:val="93"/>
              <w:jc w:val="center"/>
              <w:rPr>
                <w:kern w:val="0"/>
                <w:sz w:val="20"/>
                <w:szCs w:val="20"/>
              </w:rPr>
            </w:pPr>
            <w:r>
              <w:rPr>
                <w:kern w:val="0"/>
                <w:sz w:val="20"/>
                <w:szCs w:val="20"/>
              </w:rPr>
              <w:t>第8.7年</w:t>
            </w:r>
          </w:p>
        </w:tc>
        <w:tc>
          <w:tcPr>
            <w:tcW w:w="0" w:type="auto"/>
            <w:vAlign w:val="center"/>
          </w:tcPr>
          <w:p>
            <w:pPr>
              <w:pStyle w:val="93"/>
              <w:jc w:val="center"/>
              <w:rPr>
                <w:kern w:val="0"/>
                <w:sz w:val="20"/>
                <w:szCs w:val="20"/>
              </w:rPr>
            </w:pPr>
            <w:r>
              <w:rPr>
                <w:kern w:val="0"/>
                <w:sz w:val="20"/>
                <w:szCs w:val="20"/>
              </w:rPr>
              <w:t>第8.7-11.7年</w:t>
            </w:r>
          </w:p>
        </w:tc>
        <w:tc>
          <w:tcPr>
            <w:tcW w:w="0" w:type="auto"/>
            <w:vAlign w:val="center"/>
          </w:tcPr>
          <w:p>
            <w:pPr>
              <w:pStyle w:val="93"/>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b/>
                <w:bCs/>
                <w:kern w:val="0"/>
                <w:sz w:val="20"/>
                <w:szCs w:val="21"/>
              </w:rPr>
            </w:pPr>
            <w:r>
              <w:rPr>
                <w:b/>
                <w:bCs/>
                <w:kern w:val="0"/>
                <w:sz w:val="20"/>
                <w:szCs w:val="21"/>
              </w:rPr>
              <w:t>工作内容</w:t>
            </w:r>
          </w:p>
        </w:tc>
        <w:tc>
          <w:tcPr>
            <w:tcW w:w="0" w:type="auto"/>
            <w:vAlign w:val="center"/>
          </w:tcPr>
          <w:p>
            <w:pPr>
              <w:pStyle w:val="93"/>
              <w:jc w:val="center"/>
              <w:rPr>
                <w:b/>
                <w:bCs/>
                <w:kern w:val="0"/>
                <w:sz w:val="20"/>
                <w:szCs w:val="21"/>
              </w:rPr>
            </w:pPr>
            <w:r>
              <w:rPr>
                <w:b/>
                <w:bCs/>
                <w:kern w:val="0"/>
                <w:sz w:val="20"/>
                <w:szCs w:val="21"/>
              </w:rPr>
              <w:t>单位</w:t>
            </w:r>
          </w:p>
        </w:tc>
        <w:tc>
          <w:tcPr>
            <w:tcW w:w="0" w:type="auto"/>
            <w:gridSpan w:val="7"/>
            <w:vAlign w:val="center"/>
          </w:tcPr>
          <w:p>
            <w:pPr>
              <w:pStyle w:val="93"/>
              <w:jc w:val="center"/>
              <w:rPr>
                <w:kern w:val="0"/>
                <w:sz w:val="20"/>
                <w:szCs w:val="20"/>
              </w:rPr>
            </w:pPr>
            <w:r>
              <w:rPr>
                <w:kern w:val="0"/>
                <w:szCs w:val="21"/>
              </w:rPr>
              <w:t>开采期</w:t>
            </w:r>
          </w:p>
        </w:tc>
        <w:tc>
          <w:tcPr>
            <w:tcW w:w="0" w:type="auto"/>
            <w:vAlign w:val="center"/>
          </w:tcPr>
          <w:p>
            <w:pPr>
              <w:pStyle w:val="93"/>
              <w:jc w:val="center"/>
              <w:rPr>
                <w:kern w:val="0"/>
                <w:sz w:val="20"/>
                <w:szCs w:val="20"/>
              </w:rPr>
            </w:pPr>
            <w:r>
              <w:rPr>
                <w:kern w:val="0"/>
                <w:sz w:val="20"/>
                <w:szCs w:val="20"/>
              </w:rPr>
              <w:t>闭坑修复期</w:t>
            </w:r>
          </w:p>
        </w:tc>
        <w:tc>
          <w:tcPr>
            <w:tcW w:w="0" w:type="auto"/>
            <w:vAlign w:val="center"/>
          </w:tcPr>
          <w:p>
            <w:pPr>
              <w:pStyle w:val="93"/>
              <w:jc w:val="center"/>
              <w:rPr>
                <w:kern w:val="0"/>
                <w:sz w:val="20"/>
                <w:szCs w:val="20"/>
              </w:rPr>
            </w:pPr>
            <w:r>
              <w:rPr>
                <w:kern w:val="0"/>
                <w:sz w:val="20"/>
                <w:szCs w:val="20"/>
              </w:rPr>
              <w:t>管护期</w:t>
            </w:r>
          </w:p>
        </w:tc>
        <w:tc>
          <w:tcPr>
            <w:tcW w:w="0" w:type="auto"/>
            <w:vAlign w:val="center"/>
          </w:tcPr>
          <w:p>
            <w:pPr>
              <w:pStyle w:val="93"/>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0" w:type="auto"/>
            <w:vMerge w:val="restart"/>
            <w:vAlign w:val="center"/>
          </w:tcPr>
          <w:p>
            <w:pPr>
              <w:pStyle w:val="93"/>
              <w:jc w:val="center"/>
              <w:rPr>
                <w:kern w:val="0"/>
                <w:sz w:val="20"/>
                <w:szCs w:val="21"/>
              </w:rPr>
            </w:pPr>
            <w:r>
              <w:rPr>
                <w:kern w:val="0"/>
                <w:sz w:val="20"/>
                <w:szCs w:val="21"/>
              </w:rPr>
              <w:t>修复工程</w:t>
            </w:r>
          </w:p>
        </w:tc>
        <w:tc>
          <w:tcPr>
            <w:tcW w:w="0" w:type="auto"/>
            <w:vAlign w:val="center"/>
          </w:tcPr>
          <w:p>
            <w:pPr>
              <w:pStyle w:val="93"/>
              <w:jc w:val="center"/>
              <w:rPr>
                <w:b/>
                <w:bCs/>
                <w:kern w:val="0"/>
                <w:sz w:val="20"/>
                <w:szCs w:val="21"/>
              </w:rPr>
            </w:pPr>
            <w:r>
              <w:rPr>
                <w:b/>
                <w:bCs/>
                <w:kern w:val="0"/>
                <w:sz w:val="20"/>
                <w:szCs w:val="21"/>
              </w:rPr>
              <w:t>露采场平台外侧工程</w:t>
            </w:r>
          </w:p>
        </w:tc>
        <w:tc>
          <w:tcPr>
            <w:tcW w:w="0" w:type="auto"/>
            <w:vAlign w:val="center"/>
          </w:tcPr>
          <w:p>
            <w:pPr>
              <w:pStyle w:val="93"/>
              <w:jc w:val="center"/>
              <w:rPr>
                <w:b/>
                <w:bCs/>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0" w:type="auto"/>
            <w:vMerge w:val="continue"/>
            <w:vAlign w:val="center"/>
          </w:tcPr>
          <w:p>
            <w:pPr>
              <w:pStyle w:val="93"/>
              <w:jc w:val="center"/>
              <w:rPr>
                <w:kern w:val="0"/>
                <w:sz w:val="20"/>
                <w:szCs w:val="21"/>
              </w:rPr>
            </w:pPr>
          </w:p>
        </w:tc>
        <w:tc>
          <w:tcPr>
            <w:tcW w:w="0" w:type="auto"/>
            <w:vAlign w:val="center"/>
          </w:tcPr>
          <w:p>
            <w:pPr>
              <w:pStyle w:val="93"/>
              <w:jc w:val="center"/>
              <w:rPr>
                <w:kern w:val="0"/>
                <w:sz w:val="20"/>
                <w:szCs w:val="21"/>
              </w:rPr>
            </w:pPr>
            <w:r>
              <w:rPr>
                <w:kern w:val="0"/>
                <w:sz w:val="20"/>
                <w:szCs w:val="21"/>
              </w:rPr>
              <w:t>安装防护栏</w:t>
            </w:r>
          </w:p>
        </w:tc>
        <w:tc>
          <w:tcPr>
            <w:tcW w:w="0" w:type="auto"/>
            <w:vAlign w:val="center"/>
          </w:tcPr>
          <w:p>
            <w:pPr>
              <w:widowControl/>
              <w:jc w:val="center"/>
              <w:textAlignment w:val="center"/>
              <w:rPr>
                <w:kern w:val="0"/>
                <w:sz w:val="20"/>
                <w:szCs w:val="21"/>
              </w:rPr>
            </w:pPr>
            <w:r>
              <w:rPr>
                <w:kern w:val="0"/>
                <w:sz w:val="22"/>
                <w:szCs w:val="22"/>
              </w:rPr>
              <w:t>m</w:t>
            </w:r>
          </w:p>
        </w:tc>
        <w:tc>
          <w:tcPr>
            <w:tcW w:w="0" w:type="auto"/>
            <w:vAlign w:val="center"/>
          </w:tcPr>
          <w:p>
            <w:pPr>
              <w:pStyle w:val="93"/>
              <w:jc w:val="center"/>
              <w:rPr>
                <w:kern w:val="0"/>
                <w:sz w:val="20"/>
                <w:szCs w:val="21"/>
              </w:rPr>
            </w:pPr>
            <w:r>
              <w:rPr>
                <w:kern w:val="0"/>
                <w:sz w:val="20"/>
                <w:szCs w:val="21"/>
              </w:rPr>
              <w:t>1215</w:t>
            </w:r>
          </w:p>
        </w:tc>
        <w:tc>
          <w:tcPr>
            <w:tcW w:w="0" w:type="auto"/>
            <w:vAlign w:val="center"/>
          </w:tcPr>
          <w:p>
            <w:pPr>
              <w:pStyle w:val="93"/>
              <w:jc w:val="center"/>
              <w:rPr>
                <w:kern w:val="0"/>
                <w:sz w:val="20"/>
                <w:szCs w:val="21"/>
              </w:rPr>
            </w:pPr>
            <w:r>
              <w:rPr>
                <w:kern w:val="0"/>
                <w:sz w:val="20"/>
                <w:szCs w:val="21"/>
              </w:rPr>
              <w:t>1785</w:t>
            </w:r>
          </w:p>
        </w:tc>
        <w:tc>
          <w:tcPr>
            <w:tcW w:w="0" w:type="auto"/>
            <w:vAlign w:val="center"/>
          </w:tcPr>
          <w:p>
            <w:pPr>
              <w:pStyle w:val="93"/>
              <w:jc w:val="center"/>
              <w:rPr>
                <w:kern w:val="0"/>
                <w:sz w:val="20"/>
                <w:szCs w:val="21"/>
              </w:rPr>
            </w:pPr>
            <w:r>
              <w:rPr>
                <w:kern w:val="0"/>
                <w:sz w:val="20"/>
                <w:szCs w:val="21"/>
              </w:rPr>
              <w:t>1815</w:t>
            </w:r>
          </w:p>
        </w:tc>
        <w:tc>
          <w:tcPr>
            <w:tcW w:w="0" w:type="auto"/>
            <w:vAlign w:val="center"/>
          </w:tcPr>
          <w:p>
            <w:pPr>
              <w:pStyle w:val="93"/>
              <w:jc w:val="center"/>
              <w:rPr>
                <w:kern w:val="0"/>
                <w:sz w:val="20"/>
                <w:szCs w:val="21"/>
              </w:rPr>
            </w:pPr>
            <w:r>
              <w:rPr>
                <w:kern w:val="0"/>
                <w:sz w:val="20"/>
                <w:szCs w:val="21"/>
              </w:rPr>
              <w:t>1806</w:t>
            </w:r>
          </w:p>
        </w:tc>
        <w:tc>
          <w:tcPr>
            <w:tcW w:w="0" w:type="auto"/>
            <w:vAlign w:val="center"/>
          </w:tcPr>
          <w:p>
            <w:pPr>
              <w:pStyle w:val="93"/>
              <w:jc w:val="center"/>
              <w:rPr>
                <w:kern w:val="0"/>
                <w:sz w:val="20"/>
                <w:szCs w:val="21"/>
              </w:rPr>
            </w:pPr>
            <w:r>
              <w:rPr>
                <w:kern w:val="0"/>
                <w:sz w:val="20"/>
                <w:szCs w:val="21"/>
              </w:rPr>
              <w:t>1788</w:t>
            </w:r>
          </w:p>
        </w:tc>
        <w:tc>
          <w:tcPr>
            <w:tcW w:w="0" w:type="auto"/>
            <w:vAlign w:val="center"/>
          </w:tcPr>
          <w:p>
            <w:pPr>
              <w:pStyle w:val="93"/>
              <w:jc w:val="center"/>
              <w:rPr>
                <w:kern w:val="0"/>
                <w:sz w:val="20"/>
                <w:szCs w:val="21"/>
              </w:rPr>
            </w:pPr>
            <w:r>
              <w:rPr>
                <w:kern w:val="0"/>
                <w:sz w:val="20"/>
                <w:szCs w:val="21"/>
              </w:rPr>
              <w:t>1524</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 w:val="22"/>
                <w:szCs w:val="22"/>
              </w:rPr>
              <w:t xml:space="preserve">9933.00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Merge w:val="continue"/>
            <w:vAlign w:val="center"/>
          </w:tcPr>
          <w:p>
            <w:pPr>
              <w:pStyle w:val="93"/>
              <w:jc w:val="center"/>
              <w:rPr>
                <w:kern w:val="0"/>
                <w:sz w:val="20"/>
                <w:szCs w:val="21"/>
              </w:rPr>
            </w:pPr>
          </w:p>
        </w:tc>
        <w:tc>
          <w:tcPr>
            <w:tcW w:w="0" w:type="auto"/>
            <w:vAlign w:val="center"/>
          </w:tcPr>
          <w:p>
            <w:pPr>
              <w:pStyle w:val="93"/>
              <w:jc w:val="center"/>
              <w:rPr>
                <w:kern w:val="0"/>
                <w:sz w:val="20"/>
                <w:szCs w:val="21"/>
              </w:rPr>
            </w:pPr>
            <w:r>
              <w:rPr>
                <w:kern w:val="0"/>
                <w:sz w:val="20"/>
                <w:szCs w:val="21"/>
              </w:rPr>
              <w:t>钢钉固定</w:t>
            </w:r>
          </w:p>
        </w:tc>
        <w:tc>
          <w:tcPr>
            <w:tcW w:w="0" w:type="auto"/>
            <w:vAlign w:val="center"/>
          </w:tcPr>
          <w:p>
            <w:pPr>
              <w:widowControl/>
              <w:jc w:val="center"/>
              <w:textAlignment w:val="center"/>
              <w:rPr>
                <w:kern w:val="0"/>
                <w:sz w:val="20"/>
                <w:szCs w:val="21"/>
              </w:rPr>
            </w:pPr>
            <w:r>
              <w:rPr>
                <w:kern w:val="0"/>
                <w:szCs w:val="21"/>
              </w:rPr>
              <w:t>个</w:t>
            </w:r>
          </w:p>
        </w:tc>
        <w:tc>
          <w:tcPr>
            <w:tcW w:w="0" w:type="auto"/>
            <w:vAlign w:val="center"/>
          </w:tcPr>
          <w:p>
            <w:pPr>
              <w:pStyle w:val="93"/>
              <w:jc w:val="center"/>
              <w:rPr>
                <w:kern w:val="0"/>
                <w:sz w:val="20"/>
                <w:szCs w:val="21"/>
              </w:rPr>
            </w:pPr>
            <w:r>
              <w:rPr>
                <w:kern w:val="0"/>
                <w:sz w:val="20"/>
                <w:szCs w:val="21"/>
              </w:rPr>
              <w:t>1215</w:t>
            </w:r>
          </w:p>
        </w:tc>
        <w:tc>
          <w:tcPr>
            <w:tcW w:w="0" w:type="auto"/>
            <w:vAlign w:val="center"/>
          </w:tcPr>
          <w:p>
            <w:pPr>
              <w:pStyle w:val="93"/>
              <w:jc w:val="center"/>
              <w:rPr>
                <w:kern w:val="0"/>
                <w:sz w:val="20"/>
                <w:szCs w:val="21"/>
              </w:rPr>
            </w:pPr>
            <w:r>
              <w:rPr>
                <w:kern w:val="0"/>
                <w:sz w:val="20"/>
                <w:szCs w:val="21"/>
              </w:rPr>
              <w:t>1785</w:t>
            </w:r>
          </w:p>
        </w:tc>
        <w:tc>
          <w:tcPr>
            <w:tcW w:w="0" w:type="auto"/>
            <w:vAlign w:val="center"/>
          </w:tcPr>
          <w:p>
            <w:pPr>
              <w:pStyle w:val="93"/>
              <w:jc w:val="center"/>
              <w:rPr>
                <w:kern w:val="0"/>
                <w:sz w:val="20"/>
                <w:szCs w:val="21"/>
              </w:rPr>
            </w:pPr>
            <w:r>
              <w:rPr>
                <w:kern w:val="0"/>
                <w:sz w:val="20"/>
                <w:szCs w:val="21"/>
              </w:rPr>
              <w:t>1815</w:t>
            </w:r>
          </w:p>
        </w:tc>
        <w:tc>
          <w:tcPr>
            <w:tcW w:w="0" w:type="auto"/>
            <w:vAlign w:val="center"/>
          </w:tcPr>
          <w:p>
            <w:pPr>
              <w:pStyle w:val="93"/>
              <w:jc w:val="center"/>
              <w:rPr>
                <w:kern w:val="0"/>
                <w:sz w:val="20"/>
                <w:szCs w:val="21"/>
              </w:rPr>
            </w:pPr>
            <w:r>
              <w:rPr>
                <w:kern w:val="0"/>
                <w:sz w:val="20"/>
                <w:szCs w:val="21"/>
              </w:rPr>
              <w:t>1806</w:t>
            </w:r>
          </w:p>
        </w:tc>
        <w:tc>
          <w:tcPr>
            <w:tcW w:w="0" w:type="auto"/>
            <w:vAlign w:val="center"/>
          </w:tcPr>
          <w:p>
            <w:pPr>
              <w:pStyle w:val="93"/>
              <w:jc w:val="center"/>
              <w:rPr>
                <w:kern w:val="0"/>
                <w:sz w:val="20"/>
                <w:szCs w:val="21"/>
              </w:rPr>
            </w:pPr>
            <w:r>
              <w:rPr>
                <w:kern w:val="0"/>
                <w:sz w:val="20"/>
                <w:szCs w:val="21"/>
              </w:rPr>
              <w:t>1788</w:t>
            </w:r>
          </w:p>
        </w:tc>
        <w:tc>
          <w:tcPr>
            <w:tcW w:w="0" w:type="auto"/>
            <w:vAlign w:val="center"/>
          </w:tcPr>
          <w:p>
            <w:pPr>
              <w:pStyle w:val="93"/>
              <w:jc w:val="center"/>
              <w:rPr>
                <w:kern w:val="0"/>
                <w:sz w:val="20"/>
                <w:szCs w:val="21"/>
              </w:rPr>
            </w:pPr>
            <w:r>
              <w:rPr>
                <w:kern w:val="0"/>
                <w:sz w:val="20"/>
                <w:szCs w:val="21"/>
              </w:rPr>
              <w:t>1524</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 w:val="22"/>
                <w:szCs w:val="22"/>
              </w:rPr>
              <w:t xml:space="preserve">9933.00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钻进钢钉孔</w:t>
            </w:r>
          </w:p>
        </w:tc>
        <w:tc>
          <w:tcPr>
            <w:tcW w:w="0" w:type="auto"/>
            <w:vAlign w:val="center"/>
          </w:tcPr>
          <w:p>
            <w:pPr>
              <w:widowControl/>
              <w:jc w:val="center"/>
              <w:textAlignment w:val="center"/>
              <w:rPr>
                <w:b/>
                <w:bCs/>
                <w:kern w:val="0"/>
                <w:sz w:val="20"/>
                <w:szCs w:val="21"/>
              </w:rPr>
            </w:pPr>
            <w:r>
              <w:rPr>
                <w:kern w:val="0"/>
                <w:szCs w:val="21"/>
              </w:rPr>
              <w:t>m</w:t>
            </w:r>
          </w:p>
        </w:tc>
        <w:tc>
          <w:tcPr>
            <w:tcW w:w="0" w:type="auto"/>
            <w:vAlign w:val="center"/>
          </w:tcPr>
          <w:p>
            <w:pPr>
              <w:pStyle w:val="93"/>
              <w:jc w:val="center"/>
              <w:rPr>
                <w:kern w:val="0"/>
                <w:sz w:val="20"/>
                <w:szCs w:val="21"/>
              </w:rPr>
            </w:pPr>
            <w:r>
              <w:rPr>
                <w:kern w:val="0"/>
                <w:sz w:val="20"/>
                <w:szCs w:val="21"/>
              </w:rPr>
              <w:t>12.15</w:t>
            </w:r>
          </w:p>
        </w:tc>
        <w:tc>
          <w:tcPr>
            <w:tcW w:w="0" w:type="auto"/>
            <w:vAlign w:val="center"/>
          </w:tcPr>
          <w:p>
            <w:pPr>
              <w:pStyle w:val="93"/>
              <w:jc w:val="center"/>
              <w:rPr>
                <w:kern w:val="0"/>
                <w:sz w:val="20"/>
                <w:szCs w:val="21"/>
              </w:rPr>
            </w:pPr>
            <w:r>
              <w:rPr>
                <w:kern w:val="0"/>
                <w:sz w:val="20"/>
                <w:szCs w:val="21"/>
              </w:rPr>
              <w:t>17.85</w:t>
            </w:r>
          </w:p>
        </w:tc>
        <w:tc>
          <w:tcPr>
            <w:tcW w:w="0" w:type="auto"/>
            <w:vAlign w:val="center"/>
          </w:tcPr>
          <w:p>
            <w:pPr>
              <w:pStyle w:val="93"/>
              <w:jc w:val="center"/>
              <w:rPr>
                <w:kern w:val="0"/>
                <w:sz w:val="20"/>
                <w:szCs w:val="21"/>
              </w:rPr>
            </w:pPr>
            <w:r>
              <w:rPr>
                <w:kern w:val="0"/>
                <w:sz w:val="20"/>
                <w:szCs w:val="21"/>
              </w:rPr>
              <w:t>18.15</w:t>
            </w:r>
          </w:p>
        </w:tc>
        <w:tc>
          <w:tcPr>
            <w:tcW w:w="0" w:type="auto"/>
            <w:vAlign w:val="center"/>
          </w:tcPr>
          <w:p>
            <w:pPr>
              <w:pStyle w:val="93"/>
              <w:jc w:val="center"/>
              <w:rPr>
                <w:kern w:val="0"/>
                <w:sz w:val="20"/>
                <w:szCs w:val="21"/>
              </w:rPr>
            </w:pPr>
            <w:r>
              <w:rPr>
                <w:kern w:val="0"/>
                <w:sz w:val="20"/>
                <w:szCs w:val="21"/>
              </w:rPr>
              <w:t>18.06</w:t>
            </w:r>
          </w:p>
        </w:tc>
        <w:tc>
          <w:tcPr>
            <w:tcW w:w="0" w:type="auto"/>
            <w:vAlign w:val="center"/>
          </w:tcPr>
          <w:p>
            <w:pPr>
              <w:pStyle w:val="93"/>
              <w:jc w:val="center"/>
              <w:rPr>
                <w:kern w:val="0"/>
                <w:sz w:val="20"/>
                <w:szCs w:val="21"/>
              </w:rPr>
            </w:pPr>
            <w:r>
              <w:rPr>
                <w:kern w:val="0"/>
                <w:sz w:val="20"/>
                <w:szCs w:val="21"/>
              </w:rPr>
              <w:t>17.88</w:t>
            </w:r>
          </w:p>
        </w:tc>
        <w:tc>
          <w:tcPr>
            <w:tcW w:w="0" w:type="auto"/>
            <w:vAlign w:val="center"/>
          </w:tcPr>
          <w:p>
            <w:pPr>
              <w:pStyle w:val="93"/>
              <w:jc w:val="center"/>
              <w:rPr>
                <w:kern w:val="0"/>
                <w:sz w:val="20"/>
                <w:szCs w:val="21"/>
              </w:rPr>
            </w:pPr>
            <w:r>
              <w:rPr>
                <w:kern w:val="0"/>
                <w:sz w:val="20"/>
                <w:szCs w:val="21"/>
              </w:rPr>
              <w:t>15.24</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 w:val="20"/>
                <w:szCs w:val="20"/>
              </w:rPr>
            </w:pPr>
            <w:r>
              <w:rPr>
                <w:kern w:val="0"/>
                <w:sz w:val="22"/>
                <w:szCs w:val="22"/>
              </w:rPr>
              <w:t xml:space="preserve">99.33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b/>
                <w:bCs/>
                <w:kern w:val="0"/>
                <w:sz w:val="20"/>
                <w:szCs w:val="21"/>
              </w:rPr>
            </w:pPr>
            <w:r>
              <w:rPr>
                <w:b/>
                <w:bCs/>
                <w:kern w:val="0"/>
                <w:sz w:val="20"/>
                <w:szCs w:val="21"/>
              </w:rPr>
              <w:t>平台复绿工程</w:t>
            </w:r>
          </w:p>
        </w:tc>
        <w:tc>
          <w:tcPr>
            <w:tcW w:w="0" w:type="auto"/>
            <w:vAlign w:val="center"/>
          </w:tcPr>
          <w:p>
            <w:pPr>
              <w:pStyle w:val="93"/>
              <w:jc w:val="center"/>
              <w:rPr>
                <w:b/>
                <w:bCs/>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p>
        </w:tc>
        <w:tc>
          <w:tcPr>
            <w:tcW w:w="0" w:type="auto"/>
            <w:vAlign w:val="center"/>
          </w:tcPr>
          <w:p>
            <w:pPr>
              <w:pStyle w:val="93"/>
              <w:jc w:val="center"/>
              <w:rPr>
                <w:kern w:val="0"/>
                <w:sz w:val="20"/>
                <w:szCs w:val="20"/>
              </w:rPr>
            </w:pPr>
          </w:p>
        </w:tc>
        <w:tc>
          <w:tcPr>
            <w:tcW w:w="0" w:type="auto"/>
            <w:vAlign w:val="center"/>
          </w:tcPr>
          <w:p>
            <w:pPr>
              <w:pStyle w:val="93"/>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覆土工程</w:t>
            </w:r>
          </w:p>
        </w:tc>
        <w:tc>
          <w:tcPr>
            <w:tcW w:w="0" w:type="auto"/>
            <w:vAlign w:val="center"/>
          </w:tcPr>
          <w:p>
            <w:pPr>
              <w:pStyle w:val="93"/>
              <w:jc w:val="center"/>
              <w:rPr>
                <w:kern w:val="0"/>
                <w:sz w:val="20"/>
                <w:szCs w:val="21"/>
              </w:rPr>
            </w:pPr>
            <w:r>
              <w:rPr>
                <w:kern w:val="0"/>
                <w:sz w:val="20"/>
                <w:szCs w:val="21"/>
              </w:rPr>
              <w:t>M³</w:t>
            </w:r>
          </w:p>
        </w:tc>
        <w:tc>
          <w:tcPr>
            <w:tcW w:w="0" w:type="auto"/>
            <w:vAlign w:val="center"/>
          </w:tcPr>
          <w:p>
            <w:pPr>
              <w:pStyle w:val="93"/>
              <w:jc w:val="center"/>
              <w:rPr>
                <w:kern w:val="0"/>
                <w:sz w:val="20"/>
                <w:szCs w:val="21"/>
              </w:rPr>
            </w:pPr>
            <w:r>
              <w:rPr>
                <w:kern w:val="0"/>
                <w:sz w:val="20"/>
                <w:szCs w:val="21"/>
              </w:rPr>
              <w:t>202.50</w:t>
            </w:r>
          </w:p>
        </w:tc>
        <w:tc>
          <w:tcPr>
            <w:tcW w:w="0" w:type="auto"/>
            <w:vAlign w:val="center"/>
          </w:tcPr>
          <w:p>
            <w:pPr>
              <w:pStyle w:val="93"/>
              <w:jc w:val="center"/>
              <w:rPr>
                <w:kern w:val="0"/>
                <w:sz w:val="20"/>
                <w:szCs w:val="21"/>
              </w:rPr>
            </w:pPr>
            <w:r>
              <w:rPr>
                <w:kern w:val="0"/>
                <w:sz w:val="20"/>
                <w:szCs w:val="21"/>
              </w:rPr>
              <w:t>297.50</w:t>
            </w:r>
          </w:p>
        </w:tc>
        <w:tc>
          <w:tcPr>
            <w:tcW w:w="0" w:type="auto"/>
            <w:vAlign w:val="center"/>
          </w:tcPr>
          <w:p>
            <w:pPr>
              <w:pStyle w:val="93"/>
              <w:jc w:val="center"/>
              <w:rPr>
                <w:kern w:val="0"/>
                <w:sz w:val="20"/>
                <w:szCs w:val="21"/>
              </w:rPr>
            </w:pPr>
            <w:r>
              <w:rPr>
                <w:kern w:val="0"/>
                <w:sz w:val="20"/>
                <w:szCs w:val="21"/>
              </w:rPr>
              <w:t>302.50</w:t>
            </w:r>
          </w:p>
        </w:tc>
        <w:tc>
          <w:tcPr>
            <w:tcW w:w="0" w:type="auto"/>
            <w:vAlign w:val="center"/>
          </w:tcPr>
          <w:p>
            <w:pPr>
              <w:pStyle w:val="93"/>
              <w:jc w:val="center"/>
              <w:rPr>
                <w:kern w:val="0"/>
                <w:sz w:val="20"/>
                <w:szCs w:val="21"/>
              </w:rPr>
            </w:pPr>
            <w:r>
              <w:rPr>
                <w:kern w:val="0"/>
                <w:sz w:val="20"/>
                <w:szCs w:val="21"/>
              </w:rPr>
              <w:t>301.00</w:t>
            </w:r>
          </w:p>
        </w:tc>
        <w:tc>
          <w:tcPr>
            <w:tcW w:w="0" w:type="auto"/>
            <w:vAlign w:val="center"/>
          </w:tcPr>
          <w:p>
            <w:pPr>
              <w:pStyle w:val="93"/>
              <w:jc w:val="center"/>
              <w:rPr>
                <w:kern w:val="0"/>
                <w:sz w:val="20"/>
                <w:szCs w:val="21"/>
              </w:rPr>
            </w:pPr>
            <w:r>
              <w:rPr>
                <w:kern w:val="0"/>
                <w:sz w:val="20"/>
                <w:szCs w:val="21"/>
              </w:rPr>
              <w:t>298.00</w:t>
            </w:r>
          </w:p>
        </w:tc>
        <w:tc>
          <w:tcPr>
            <w:tcW w:w="0" w:type="auto"/>
            <w:vAlign w:val="center"/>
          </w:tcPr>
          <w:p>
            <w:pPr>
              <w:pStyle w:val="93"/>
              <w:jc w:val="center"/>
              <w:rPr>
                <w:kern w:val="0"/>
                <w:sz w:val="20"/>
                <w:szCs w:val="21"/>
              </w:rPr>
            </w:pPr>
            <w:r>
              <w:rPr>
                <w:kern w:val="0"/>
                <w:sz w:val="20"/>
                <w:szCs w:val="21"/>
              </w:rPr>
              <w:t>254.00</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r>
              <w:rPr>
                <w:kern w:val="0"/>
                <w:sz w:val="20"/>
                <w:szCs w:val="20"/>
              </w:rPr>
              <w:t>11161</w:t>
            </w: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 w:val="20"/>
                <w:szCs w:val="20"/>
              </w:rPr>
            </w:pPr>
            <w:r>
              <w:rPr>
                <w:kern w:val="0"/>
                <w:szCs w:val="21"/>
              </w:rPr>
              <w:t xml:space="preserve">12816.5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土壤培肥（有机肥）</w:t>
            </w:r>
          </w:p>
        </w:tc>
        <w:tc>
          <w:tcPr>
            <w:tcW w:w="0" w:type="auto"/>
            <w:vAlign w:val="center"/>
          </w:tcPr>
          <w:p>
            <w:pPr>
              <w:widowControl/>
              <w:jc w:val="center"/>
              <w:textAlignment w:val="center"/>
              <w:rPr>
                <w:b/>
                <w:bCs/>
                <w:kern w:val="0"/>
                <w:sz w:val="20"/>
                <w:szCs w:val="21"/>
              </w:rPr>
            </w:pPr>
            <w:r>
              <w:rPr>
                <w:kern w:val="0"/>
                <w:szCs w:val="21"/>
              </w:rPr>
              <w:t>kg</w:t>
            </w:r>
          </w:p>
        </w:tc>
        <w:tc>
          <w:tcPr>
            <w:tcW w:w="0" w:type="auto"/>
            <w:vAlign w:val="center"/>
          </w:tcPr>
          <w:p>
            <w:pPr>
              <w:pStyle w:val="93"/>
              <w:jc w:val="center"/>
              <w:rPr>
                <w:kern w:val="0"/>
                <w:sz w:val="20"/>
                <w:szCs w:val="21"/>
              </w:rPr>
            </w:pPr>
            <w:r>
              <w:rPr>
                <w:kern w:val="0"/>
                <w:sz w:val="20"/>
                <w:szCs w:val="21"/>
              </w:rPr>
              <w:t>303.75</w:t>
            </w:r>
          </w:p>
        </w:tc>
        <w:tc>
          <w:tcPr>
            <w:tcW w:w="0" w:type="auto"/>
            <w:vAlign w:val="center"/>
          </w:tcPr>
          <w:p>
            <w:pPr>
              <w:pStyle w:val="93"/>
              <w:jc w:val="center"/>
              <w:rPr>
                <w:kern w:val="0"/>
                <w:sz w:val="20"/>
                <w:szCs w:val="21"/>
              </w:rPr>
            </w:pPr>
            <w:r>
              <w:rPr>
                <w:kern w:val="0"/>
                <w:sz w:val="20"/>
                <w:szCs w:val="21"/>
              </w:rPr>
              <w:t>446.25</w:t>
            </w:r>
          </w:p>
        </w:tc>
        <w:tc>
          <w:tcPr>
            <w:tcW w:w="0" w:type="auto"/>
            <w:vAlign w:val="center"/>
          </w:tcPr>
          <w:p>
            <w:pPr>
              <w:pStyle w:val="93"/>
              <w:jc w:val="center"/>
              <w:rPr>
                <w:kern w:val="0"/>
                <w:sz w:val="20"/>
                <w:szCs w:val="21"/>
              </w:rPr>
            </w:pPr>
            <w:r>
              <w:rPr>
                <w:kern w:val="0"/>
                <w:sz w:val="20"/>
                <w:szCs w:val="21"/>
              </w:rPr>
              <w:t>453.75</w:t>
            </w:r>
          </w:p>
        </w:tc>
        <w:tc>
          <w:tcPr>
            <w:tcW w:w="0" w:type="auto"/>
            <w:vAlign w:val="center"/>
          </w:tcPr>
          <w:p>
            <w:pPr>
              <w:pStyle w:val="93"/>
              <w:jc w:val="center"/>
              <w:rPr>
                <w:kern w:val="0"/>
                <w:sz w:val="20"/>
                <w:szCs w:val="21"/>
              </w:rPr>
            </w:pPr>
            <w:r>
              <w:rPr>
                <w:kern w:val="0"/>
                <w:sz w:val="20"/>
                <w:szCs w:val="21"/>
              </w:rPr>
              <w:t>451.50</w:t>
            </w:r>
          </w:p>
        </w:tc>
        <w:tc>
          <w:tcPr>
            <w:tcW w:w="0" w:type="auto"/>
            <w:vAlign w:val="center"/>
          </w:tcPr>
          <w:p>
            <w:pPr>
              <w:pStyle w:val="93"/>
              <w:jc w:val="center"/>
              <w:rPr>
                <w:kern w:val="0"/>
                <w:sz w:val="20"/>
                <w:szCs w:val="21"/>
              </w:rPr>
            </w:pPr>
            <w:r>
              <w:rPr>
                <w:kern w:val="0"/>
                <w:sz w:val="20"/>
                <w:szCs w:val="21"/>
              </w:rPr>
              <w:t>447.00</w:t>
            </w:r>
          </w:p>
        </w:tc>
        <w:tc>
          <w:tcPr>
            <w:tcW w:w="0" w:type="auto"/>
            <w:vAlign w:val="center"/>
          </w:tcPr>
          <w:p>
            <w:pPr>
              <w:pStyle w:val="93"/>
              <w:jc w:val="center"/>
              <w:rPr>
                <w:kern w:val="0"/>
                <w:sz w:val="20"/>
                <w:szCs w:val="21"/>
              </w:rPr>
            </w:pPr>
            <w:r>
              <w:rPr>
                <w:kern w:val="0"/>
                <w:sz w:val="20"/>
                <w:szCs w:val="21"/>
              </w:rPr>
              <w:t>381.00</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r>
              <w:rPr>
                <w:kern w:val="0"/>
                <w:sz w:val="20"/>
                <w:szCs w:val="20"/>
              </w:rPr>
              <w:t>16741.5</w:t>
            </w: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 w:val="20"/>
                <w:szCs w:val="20"/>
              </w:rPr>
            </w:pPr>
            <w:r>
              <w:rPr>
                <w:kern w:val="0"/>
                <w:szCs w:val="21"/>
              </w:rPr>
              <w:t xml:space="preserve">19224.75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土壤培肥（保水剂）</w:t>
            </w:r>
          </w:p>
        </w:tc>
        <w:tc>
          <w:tcPr>
            <w:tcW w:w="0" w:type="auto"/>
            <w:vAlign w:val="center"/>
          </w:tcPr>
          <w:p>
            <w:pPr>
              <w:widowControl/>
              <w:jc w:val="center"/>
              <w:textAlignment w:val="center"/>
              <w:rPr>
                <w:b/>
                <w:bCs/>
                <w:kern w:val="0"/>
                <w:sz w:val="20"/>
                <w:szCs w:val="21"/>
              </w:rPr>
            </w:pPr>
            <w:r>
              <w:rPr>
                <w:kern w:val="0"/>
                <w:szCs w:val="21"/>
              </w:rPr>
              <w:t>kg</w:t>
            </w:r>
          </w:p>
        </w:tc>
        <w:tc>
          <w:tcPr>
            <w:tcW w:w="0" w:type="auto"/>
            <w:vAlign w:val="center"/>
          </w:tcPr>
          <w:p>
            <w:pPr>
              <w:pStyle w:val="93"/>
              <w:jc w:val="center"/>
              <w:rPr>
                <w:kern w:val="0"/>
                <w:sz w:val="20"/>
                <w:szCs w:val="21"/>
              </w:rPr>
            </w:pPr>
            <w:r>
              <w:rPr>
                <w:kern w:val="0"/>
                <w:sz w:val="20"/>
                <w:szCs w:val="21"/>
              </w:rPr>
              <w:t>30.38</w:t>
            </w:r>
          </w:p>
        </w:tc>
        <w:tc>
          <w:tcPr>
            <w:tcW w:w="0" w:type="auto"/>
            <w:vAlign w:val="center"/>
          </w:tcPr>
          <w:p>
            <w:pPr>
              <w:pStyle w:val="93"/>
              <w:jc w:val="center"/>
              <w:rPr>
                <w:kern w:val="0"/>
                <w:sz w:val="20"/>
                <w:szCs w:val="21"/>
              </w:rPr>
            </w:pPr>
            <w:r>
              <w:rPr>
                <w:kern w:val="0"/>
                <w:sz w:val="20"/>
                <w:szCs w:val="21"/>
              </w:rPr>
              <w:t>44.62</w:t>
            </w:r>
          </w:p>
        </w:tc>
        <w:tc>
          <w:tcPr>
            <w:tcW w:w="0" w:type="auto"/>
            <w:vAlign w:val="center"/>
          </w:tcPr>
          <w:p>
            <w:pPr>
              <w:pStyle w:val="93"/>
              <w:jc w:val="center"/>
              <w:rPr>
                <w:kern w:val="0"/>
                <w:sz w:val="20"/>
                <w:szCs w:val="21"/>
              </w:rPr>
            </w:pPr>
            <w:r>
              <w:rPr>
                <w:kern w:val="0"/>
                <w:sz w:val="20"/>
                <w:szCs w:val="21"/>
              </w:rPr>
              <w:t>45.38</w:t>
            </w:r>
          </w:p>
        </w:tc>
        <w:tc>
          <w:tcPr>
            <w:tcW w:w="0" w:type="auto"/>
            <w:vAlign w:val="center"/>
          </w:tcPr>
          <w:p>
            <w:pPr>
              <w:pStyle w:val="93"/>
              <w:jc w:val="center"/>
              <w:rPr>
                <w:kern w:val="0"/>
                <w:sz w:val="20"/>
                <w:szCs w:val="21"/>
              </w:rPr>
            </w:pPr>
            <w:r>
              <w:rPr>
                <w:kern w:val="0"/>
                <w:sz w:val="20"/>
                <w:szCs w:val="21"/>
              </w:rPr>
              <w:t>45.15</w:t>
            </w:r>
          </w:p>
        </w:tc>
        <w:tc>
          <w:tcPr>
            <w:tcW w:w="0" w:type="auto"/>
            <w:vAlign w:val="center"/>
          </w:tcPr>
          <w:p>
            <w:pPr>
              <w:pStyle w:val="93"/>
              <w:jc w:val="center"/>
              <w:rPr>
                <w:kern w:val="0"/>
                <w:sz w:val="20"/>
                <w:szCs w:val="21"/>
              </w:rPr>
            </w:pPr>
            <w:r>
              <w:rPr>
                <w:kern w:val="0"/>
                <w:sz w:val="20"/>
                <w:szCs w:val="21"/>
              </w:rPr>
              <w:t>44.70</w:t>
            </w:r>
          </w:p>
        </w:tc>
        <w:tc>
          <w:tcPr>
            <w:tcW w:w="0" w:type="auto"/>
            <w:vAlign w:val="center"/>
          </w:tcPr>
          <w:p>
            <w:pPr>
              <w:pStyle w:val="93"/>
              <w:jc w:val="center"/>
              <w:rPr>
                <w:kern w:val="0"/>
                <w:sz w:val="20"/>
                <w:szCs w:val="21"/>
              </w:rPr>
            </w:pPr>
            <w:r>
              <w:rPr>
                <w:kern w:val="0"/>
                <w:sz w:val="20"/>
                <w:szCs w:val="21"/>
              </w:rPr>
              <w:t>38.10</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r>
              <w:rPr>
                <w:kern w:val="0"/>
                <w:szCs w:val="21"/>
              </w:rPr>
              <w:t>1674.15</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1922.48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平台种植灌木</w:t>
            </w:r>
          </w:p>
        </w:tc>
        <w:tc>
          <w:tcPr>
            <w:tcW w:w="0" w:type="auto"/>
            <w:vAlign w:val="center"/>
          </w:tcPr>
          <w:p>
            <w:pPr>
              <w:widowControl/>
              <w:jc w:val="center"/>
              <w:textAlignment w:val="center"/>
              <w:rPr>
                <w:b/>
                <w:bCs/>
                <w:kern w:val="0"/>
                <w:sz w:val="20"/>
                <w:szCs w:val="21"/>
              </w:rPr>
            </w:pPr>
            <w:r>
              <w:rPr>
                <w:kern w:val="0"/>
                <w:sz w:val="22"/>
                <w:szCs w:val="22"/>
              </w:rPr>
              <w:t>株</w:t>
            </w:r>
          </w:p>
        </w:tc>
        <w:tc>
          <w:tcPr>
            <w:tcW w:w="0" w:type="auto"/>
            <w:vAlign w:val="center"/>
          </w:tcPr>
          <w:p>
            <w:pPr>
              <w:pStyle w:val="93"/>
              <w:jc w:val="center"/>
              <w:rPr>
                <w:kern w:val="0"/>
                <w:sz w:val="20"/>
                <w:szCs w:val="21"/>
              </w:rPr>
            </w:pPr>
            <w:r>
              <w:rPr>
                <w:kern w:val="0"/>
                <w:sz w:val="20"/>
                <w:szCs w:val="21"/>
              </w:rPr>
              <w:t>405</w:t>
            </w:r>
          </w:p>
        </w:tc>
        <w:tc>
          <w:tcPr>
            <w:tcW w:w="0" w:type="auto"/>
            <w:vAlign w:val="center"/>
          </w:tcPr>
          <w:p>
            <w:pPr>
              <w:pStyle w:val="93"/>
              <w:jc w:val="center"/>
              <w:rPr>
                <w:kern w:val="0"/>
                <w:sz w:val="20"/>
                <w:szCs w:val="21"/>
              </w:rPr>
            </w:pPr>
            <w:r>
              <w:rPr>
                <w:kern w:val="0"/>
                <w:sz w:val="20"/>
                <w:szCs w:val="21"/>
              </w:rPr>
              <w:t>595</w:t>
            </w:r>
          </w:p>
        </w:tc>
        <w:tc>
          <w:tcPr>
            <w:tcW w:w="0" w:type="auto"/>
            <w:vAlign w:val="center"/>
          </w:tcPr>
          <w:p>
            <w:pPr>
              <w:pStyle w:val="93"/>
              <w:jc w:val="center"/>
              <w:rPr>
                <w:kern w:val="0"/>
                <w:sz w:val="20"/>
                <w:szCs w:val="21"/>
              </w:rPr>
            </w:pPr>
            <w:r>
              <w:rPr>
                <w:kern w:val="0"/>
                <w:sz w:val="20"/>
                <w:szCs w:val="21"/>
              </w:rPr>
              <w:t>605</w:t>
            </w:r>
          </w:p>
        </w:tc>
        <w:tc>
          <w:tcPr>
            <w:tcW w:w="0" w:type="auto"/>
            <w:vAlign w:val="center"/>
          </w:tcPr>
          <w:p>
            <w:pPr>
              <w:pStyle w:val="93"/>
              <w:jc w:val="center"/>
              <w:rPr>
                <w:kern w:val="0"/>
                <w:sz w:val="20"/>
                <w:szCs w:val="21"/>
              </w:rPr>
            </w:pPr>
            <w:r>
              <w:rPr>
                <w:kern w:val="0"/>
                <w:sz w:val="20"/>
                <w:szCs w:val="21"/>
              </w:rPr>
              <w:t>602</w:t>
            </w:r>
          </w:p>
        </w:tc>
        <w:tc>
          <w:tcPr>
            <w:tcW w:w="0" w:type="auto"/>
            <w:vAlign w:val="center"/>
          </w:tcPr>
          <w:p>
            <w:pPr>
              <w:pStyle w:val="93"/>
              <w:jc w:val="center"/>
              <w:rPr>
                <w:kern w:val="0"/>
                <w:sz w:val="20"/>
                <w:szCs w:val="21"/>
              </w:rPr>
            </w:pPr>
            <w:r>
              <w:rPr>
                <w:kern w:val="0"/>
                <w:sz w:val="20"/>
                <w:szCs w:val="21"/>
              </w:rPr>
              <w:t>596</w:t>
            </w:r>
          </w:p>
        </w:tc>
        <w:tc>
          <w:tcPr>
            <w:tcW w:w="0" w:type="auto"/>
            <w:vAlign w:val="center"/>
          </w:tcPr>
          <w:p>
            <w:pPr>
              <w:pStyle w:val="93"/>
              <w:jc w:val="center"/>
              <w:rPr>
                <w:kern w:val="0"/>
                <w:sz w:val="20"/>
                <w:szCs w:val="21"/>
              </w:rPr>
            </w:pPr>
            <w:r>
              <w:rPr>
                <w:kern w:val="0"/>
                <w:sz w:val="20"/>
                <w:szCs w:val="21"/>
              </w:rPr>
              <w:t>508</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 w:val="20"/>
                <w:szCs w:val="20"/>
              </w:rPr>
            </w:pPr>
            <w:r>
              <w:rPr>
                <w:kern w:val="0"/>
                <w:szCs w:val="21"/>
              </w:rPr>
              <w:t xml:space="preserve">3311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工业广场种植乔木</w:t>
            </w:r>
          </w:p>
        </w:tc>
        <w:tc>
          <w:tcPr>
            <w:tcW w:w="0" w:type="auto"/>
            <w:vAlign w:val="center"/>
          </w:tcPr>
          <w:p>
            <w:pPr>
              <w:widowControl/>
              <w:jc w:val="center"/>
              <w:textAlignment w:val="center"/>
              <w:rPr>
                <w:kern w:val="0"/>
                <w:sz w:val="22"/>
                <w:szCs w:val="22"/>
              </w:rPr>
            </w:pPr>
            <w:r>
              <w:rPr>
                <w:kern w:val="0"/>
                <w:sz w:val="22"/>
                <w:szCs w:val="22"/>
              </w:rPr>
              <w:t>株</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r>
              <w:rPr>
                <w:kern w:val="0"/>
                <w:sz w:val="20"/>
                <w:szCs w:val="20"/>
              </w:rPr>
              <w:t>2480</w:t>
            </w: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Cs w:val="21"/>
              </w:rPr>
            </w:pPr>
            <w:r>
              <w:rPr>
                <w:kern w:val="0"/>
                <w:szCs w:val="21"/>
              </w:rPr>
              <w:t>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撒播草籽</w:t>
            </w:r>
          </w:p>
        </w:tc>
        <w:tc>
          <w:tcPr>
            <w:tcW w:w="0" w:type="auto"/>
            <w:vAlign w:val="center"/>
          </w:tcPr>
          <w:p>
            <w:pPr>
              <w:widowControl/>
              <w:jc w:val="center"/>
              <w:textAlignment w:val="center"/>
              <w:rPr>
                <w:b/>
                <w:bCs/>
                <w:kern w:val="0"/>
                <w:sz w:val="20"/>
                <w:szCs w:val="21"/>
              </w:rPr>
            </w:pPr>
            <w:r>
              <w:rPr>
                <w:kern w:val="0"/>
                <w:szCs w:val="21"/>
              </w:rPr>
              <w:t>hm</w:t>
            </w:r>
            <w:r>
              <w:rPr>
                <w:rStyle w:val="246"/>
                <w:rFonts w:hint="default" w:ascii="Times New Roman" w:hAnsi="Times New Roman" w:cs="Times New Roman"/>
                <w:color w:val="auto"/>
              </w:rPr>
              <w:t>2</w:t>
            </w:r>
          </w:p>
        </w:tc>
        <w:tc>
          <w:tcPr>
            <w:tcW w:w="0" w:type="auto"/>
            <w:vAlign w:val="center"/>
          </w:tcPr>
          <w:p>
            <w:pPr>
              <w:pStyle w:val="93"/>
              <w:jc w:val="center"/>
              <w:rPr>
                <w:kern w:val="0"/>
                <w:sz w:val="20"/>
                <w:szCs w:val="21"/>
              </w:rPr>
            </w:pPr>
            <w:r>
              <w:rPr>
                <w:kern w:val="0"/>
                <w:sz w:val="20"/>
                <w:szCs w:val="21"/>
              </w:rPr>
              <w:t>0.04</w:t>
            </w:r>
          </w:p>
        </w:tc>
        <w:tc>
          <w:tcPr>
            <w:tcW w:w="0" w:type="auto"/>
            <w:vAlign w:val="center"/>
          </w:tcPr>
          <w:p>
            <w:pPr>
              <w:pStyle w:val="93"/>
              <w:jc w:val="center"/>
              <w:rPr>
                <w:kern w:val="0"/>
                <w:sz w:val="20"/>
                <w:szCs w:val="21"/>
              </w:rPr>
            </w:pPr>
            <w:r>
              <w:rPr>
                <w:kern w:val="0"/>
                <w:sz w:val="20"/>
                <w:szCs w:val="21"/>
              </w:rPr>
              <w:t>0.06</w:t>
            </w:r>
          </w:p>
        </w:tc>
        <w:tc>
          <w:tcPr>
            <w:tcW w:w="0" w:type="auto"/>
            <w:vAlign w:val="center"/>
          </w:tcPr>
          <w:p>
            <w:pPr>
              <w:pStyle w:val="93"/>
              <w:jc w:val="center"/>
              <w:rPr>
                <w:kern w:val="0"/>
                <w:sz w:val="20"/>
                <w:szCs w:val="21"/>
              </w:rPr>
            </w:pPr>
            <w:r>
              <w:rPr>
                <w:kern w:val="0"/>
                <w:sz w:val="20"/>
                <w:szCs w:val="21"/>
              </w:rPr>
              <w:t>0.06</w:t>
            </w:r>
          </w:p>
        </w:tc>
        <w:tc>
          <w:tcPr>
            <w:tcW w:w="0" w:type="auto"/>
            <w:vAlign w:val="center"/>
          </w:tcPr>
          <w:p>
            <w:pPr>
              <w:pStyle w:val="93"/>
              <w:jc w:val="center"/>
              <w:rPr>
                <w:kern w:val="0"/>
                <w:sz w:val="20"/>
                <w:szCs w:val="21"/>
              </w:rPr>
            </w:pPr>
            <w:r>
              <w:rPr>
                <w:kern w:val="0"/>
                <w:sz w:val="20"/>
                <w:szCs w:val="21"/>
              </w:rPr>
              <w:t>0.06</w:t>
            </w:r>
          </w:p>
        </w:tc>
        <w:tc>
          <w:tcPr>
            <w:tcW w:w="0" w:type="auto"/>
            <w:vAlign w:val="center"/>
          </w:tcPr>
          <w:p>
            <w:pPr>
              <w:pStyle w:val="93"/>
              <w:jc w:val="center"/>
              <w:rPr>
                <w:kern w:val="0"/>
                <w:sz w:val="20"/>
                <w:szCs w:val="21"/>
              </w:rPr>
            </w:pPr>
            <w:r>
              <w:rPr>
                <w:kern w:val="0"/>
                <w:sz w:val="20"/>
                <w:szCs w:val="21"/>
              </w:rPr>
              <w:t>0.06</w:t>
            </w:r>
          </w:p>
        </w:tc>
        <w:tc>
          <w:tcPr>
            <w:tcW w:w="0" w:type="auto"/>
            <w:vAlign w:val="center"/>
          </w:tcPr>
          <w:p>
            <w:pPr>
              <w:pStyle w:val="93"/>
              <w:jc w:val="center"/>
              <w:rPr>
                <w:kern w:val="0"/>
                <w:sz w:val="20"/>
                <w:szCs w:val="21"/>
              </w:rPr>
            </w:pPr>
            <w:r>
              <w:rPr>
                <w:kern w:val="0"/>
                <w:sz w:val="20"/>
                <w:szCs w:val="21"/>
              </w:rPr>
              <w:t>0.05</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r>
              <w:rPr>
                <w:kern w:val="0"/>
                <w:szCs w:val="21"/>
              </w:rPr>
              <w:t>2.2322</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2.5622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边坡锚钉打孔</w:t>
            </w:r>
          </w:p>
        </w:tc>
        <w:tc>
          <w:tcPr>
            <w:tcW w:w="0" w:type="auto"/>
            <w:vAlign w:val="center"/>
          </w:tcPr>
          <w:p>
            <w:pPr>
              <w:widowControl/>
              <w:jc w:val="center"/>
              <w:textAlignment w:val="center"/>
              <w:rPr>
                <w:b/>
                <w:bCs/>
                <w:kern w:val="0"/>
                <w:sz w:val="20"/>
                <w:szCs w:val="21"/>
              </w:rPr>
            </w:pPr>
            <w:r>
              <w:rPr>
                <w:kern w:val="0"/>
                <w:sz w:val="22"/>
                <w:szCs w:val="22"/>
              </w:rPr>
              <w:t>株</w:t>
            </w:r>
          </w:p>
        </w:tc>
        <w:tc>
          <w:tcPr>
            <w:tcW w:w="0" w:type="auto"/>
            <w:vAlign w:val="center"/>
          </w:tcPr>
          <w:p>
            <w:pPr>
              <w:pStyle w:val="93"/>
              <w:jc w:val="center"/>
              <w:rPr>
                <w:kern w:val="0"/>
                <w:sz w:val="20"/>
                <w:szCs w:val="21"/>
              </w:rPr>
            </w:pPr>
            <w:r>
              <w:rPr>
                <w:kern w:val="0"/>
                <w:sz w:val="20"/>
                <w:szCs w:val="21"/>
              </w:rPr>
              <w:t>391.64</w:t>
            </w:r>
          </w:p>
        </w:tc>
        <w:tc>
          <w:tcPr>
            <w:tcW w:w="0" w:type="auto"/>
            <w:vAlign w:val="center"/>
          </w:tcPr>
          <w:p>
            <w:pPr>
              <w:pStyle w:val="93"/>
              <w:jc w:val="center"/>
              <w:rPr>
                <w:kern w:val="0"/>
                <w:sz w:val="20"/>
                <w:szCs w:val="21"/>
              </w:rPr>
            </w:pPr>
            <w:r>
              <w:rPr>
                <w:kern w:val="0"/>
                <w:sz w:val="20"/>
                <w:szCs w:val="21"/>
              </w:rPr>
              <w:t>575.37</w:t>
            </w:r>
          </w:p>
        </w:tc>
        <w:tc>
          <w:tcPr>
            <w:tcW w:w="0" w:type="auto"/>
            <w:vAlign w:val="center"/>
          </w:tcPr>
          <w:p>
            <w:pPr>
              <w:pStyle w:val="93"/>
              <w:jc w:val="center"/>
              <w:rPr>
                <w:kern w:val="0"/>
                <w:sz w:val="20"/>
                <w:szCs w:val="21"/>
              </w:rPr>
            </w:pPr>
            <w:r>
              <w:rPr>
                <w:kern w:val="0"/>
                <w:sz w:val="20"/>
                <w:szCs w:val="21"/>
              </w:rPr>
              <w:t>585.03</w:t>
            </w:r>
          </w:p>
        </w:tc>
        <w:tc>
          <w:tcPr>
            <w:tcW w:w="0" w:type="auto"/>
            <w:vAlign w:val="center"/>
          </w:tcPr>
          <w:p>
            <w:pPr>
              <w:pStyle w:val="93"/>
              <w:jc w:val="center"/>
              <w:rPr>
                <w:kern w:val="0"/>
                <w:sz w:val="20"/>
                <w:szCs w:val="21"/>
              </w:rPr>
            </w:pPr>
            <w:r>
              <w:rPr>
                <w:kern w:val="0"/>
                <w:sz w:val="20"/>
                <w:szCs w:val="21"/>
              </w:rPr>
              <w:t>582.13</w:t>
            </w:r>
          </w:p>
        </w:tc>
        <w:tc>
          <w:tcPr>
            <w:tcW w:w="0" w:type="auto"/>
            <w:vAlign w:val="center"/>
          </w:tcPr>
          <w:p>
            <w:pPr>
              <w:pStyle w:val="93"/>
              <w:jc w:val="center"/>
              <w:rPr>
                <w:kern w:val="0"/>
                <w:sz w:val="20"/>
                <w:szCs w:val="21"/>
              </w:rPr>
            </w:pPr>
            <w:r>
              <w:rPr>
                <w:kern w:val="0"/>
                <w:sz w:val="20"/>
                <w:szCs w:val="21"/>
              </w:rPr>
              <w:t>576.33</w:t>
            </w:r>
          </w:p>
        </w:tc>
        <w:tc>
          <w:tcPr>
            <w:tcW w:w="0" w:type="auto"/>
            <w:vAlign w:val="center"/>
          </w:tcPr>
          <w:p>
            <w:pPr>
              <w:pStyle w:val="93"/>
              <w:jc w:val="center"/>
              <w:rPr>
                <w:kern w:val="0"/>
                <w:sz w:val="20"/>
                <w:szCs w:val="21"/>
              </w:rPr>
            </w:pPr>
            <w:r>
              <w:rPr>
                <w:kern w:val="0"/>
                <w:sz w:val="20"/>
                <w:szCs w:val="21"/>
              </w:rPr>
              <w:t>491.24</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3201.74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边坡钻进锚钉（HRB400）</w:t>
            </w:r>
          </w:p>
        </w:tc>
        <w:tc>
          <w:tcPr>
            <w:tcW w:w="0" w:type="auto"/>
            <w:vAlign w:val="center"/>
          </w:tcPr>
          <w:p>
            <w:pPr>
              <w:widowControl/>
              <w:jc w:val="center"/>
              <w:textAlignment w:val="center"/>
              <w:rPr>
                <w:b/>
                <w:bCs/>
                <w:kern w:val="0"/>
                <w:sz w:val="20"/>
                <w:szCs w:val="21"/>
              </w:rPr>
            </w:pPr>
            <w:r>
              <w:rPr>
                <w:kern w:val="0"/>
                <w:sz w:val="22"/>
                <w:szCs w:val="22"/>
              </w:rPr>
              <w:t>个</w:t>
            </w:r>
          </w:p>
        </w:tc>
        <w:tc>
          <w:tcPr>
            <w:tcW w:w="0" w:type="auto"/>
            <w:vAlign w:val="center"/>
          </w:tcPr>
          <w:p>
            <w:pPr>
              <w:pStyle w:val="93"/>
              <w:jc w:val="center"/>
              <w:rPr>
                <w:kern w:val="0"/>
                <w:sz w:val="20"/>
                <w:szCs w:val="21"/>
              </w:rPr>
            </w:pPr>
            <w:r>
              <w:rPr>
                <w:kern w:val="0"/>
                <w:sz w:val="20"/>
                <w:szCs w:val="21"/>
              </w:rPr>
              <w:t>653.67</w:t>
            </w:r>
          </w:p>
        </w:tc>
        <w:tc>
          <w:tcPr>
            <w:tcW w:w="0" w:type="auto"/>
            <w:vAlign w:val="center"/>
          </w:tcPr>
          <w:p>
            <w:pPr>
              <w:pStyle w:val="93"/>
              <w:jc w:val="center"/>
              <w:rPr>
                <w:kern w:val="0"/>
                <w:sz w:val="20"/>
                <w:szCs w:val="21"/>
              </w:rPr>
            </w:pPr>
            <w:r>
              <w:rPr>
                <w:kern w:val="0"/>
                <w:sz w:val="20"/>
                <w:szCs w:val="21"/>
              </w:rPr>
              <w:t>960.33</w:t>
            </w:r>
          </w:p>
        </w:tc>
        <w:tc>
          <w:tcPr>
            <w:tcW w:w="0" w:type="auto"/>
            <w:vAlign w:val="center"/>
          </w:tcPr>
          <w:p>
            <w:pPr>
              <w:pStyle w:val="93"/>
              <w:jc w:val="center"/>
              <w:rPr>
                <w:kern w:val="0"/>
                <w:sz w:val="20"/>
                <w:szCs w:val="21"/>
              </w:rPr>
            </w:pPr>
            <w:r>
              <w:rPr>
                <w:kern w:val="0"/>
                <w:sz w:val="20"/>
                <w:szCs w:val="21"/>
              </w:rPr>
              <w:t>976.47</w:t>
            </w:r>
          </w:p>
        </w:tc>
        <w:tc>
          <w:tcPr>
            <w:tcW w:w="0" w:type="auto"/>
            <w:vAlign w:val="center"/>
          </w:tcPr>
          <w:p>
            <w:pPr>
              <w:pStyle w:val="93"/>
              <w:jc w:val="center"/>
              <w:rPr>
                <w:kern w:val="0"/>
                <w:sz w:val="20"/>
                <w:szCs w:val="21"/>
              </w:rPr>
            </w:pPr>
            <w:r>
              <w:rPr>
                <w:kern w:val="0"/>
                <w:sz w:val="20"/>
                <w:szCs w:val="21"/>
              </w:rPr>
              <w:t>971.63</w:t>
            </w:r>
          </w:p>
        </w:tc>
        <w:tc>
          <w:tcPr>
            <w:tcW w:w="0" w:type="auto"/>
            <w:vAlign w:val="center"/>
          </w:tcPr>
          <w:p>
            <w:pPr>
              <w:pStyle w:val="93"/>
              <w:jc w:val="center"/>
              <w:rPr>
                <w:kern w:val="0"/>
                <w:sz w:val="20"/>
                <w:szCs w:val="21"/>
              </w:rPr>
            </w:pPr>
            <w:r>
              <w:rPr>
                <w:kern w:val="0"/>
                <w:sz w:val="20"/>
                <w:szCs w:val="21"/>
              </w:rPr>
              <w:t>961.93</w:t>
            </w:r>
          </w:p>
        </w:tc>
        <w:tc>
          <w:tcPr>
            <w:tcW w:w="0" w:type="auto"/>
            <w:vAlign w:val="center"/>
          </w:tcPr>
          <w:p>
            <w:pPr>
              <w:pStyle w:val="93"/>
              <w:jc w:val="center"/>
              <w:rPr>
                <w:kern w:val="0"/>
                <w:sz w:val="20"/>
                <w:szCs w:val="21"/>
              </w:rPr>
            </w:pPr>
            <w:r>
              <w:rPr>
                <w:kern w:val="0"/>
                <w:sz w:val="20"/>
                <w:szCs w:val="21"/>
              </w:rPr>
              <w:t>819.91</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0"/>
              </w:rPr>
            </w:pPr>
          </w:p>
        </w:tc>
        <w:tc>
          <w:tcPr>
            <w:tcW w:w="0" w:type="auto"/>
            <w:vAlign w:val="center"/>
          </w:tcPr>
          <w:p>
            <w:pPr>
              <w:pStyle w:val="93"/>
              <w:jc w:val="center"/>
              <w:rPr>
                <w:kern w:val="0"/>
                <w:sz w:val="20"/>
                <w:szCs w:val="20"/>
              </w:rPr>
            </w:pPr>
          </w:p>
        </w:tc>
        <w:tc>
          <w:tcPr>
            <w:tcW w:w="0" w:type="auto"/>
            <w:vAlign w:val="center"/>
          </w:tcPr>
          <w:p>
            <w:pPr>
              <w:widowControl/>
              <w:jc w:val="center"/>
              <w:textAlignment w:val="center"/>
              <w:rPr>
                <w:kern w:val="0"/>
                <w:sz w:val="20"/>
                <w:szCs w:val="20"/>
              </w:rPr>
            </w:pPr>
            <w:r>
              <w:rPr>
                <w:kern w:val="0"/>
                <w:szCs w:val="21"/>
              </w:rPr>
              <w:t xml:space="preserve">5343.94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边坡挂绿色土工布</w:t>
            </w:r>
          </w:p>
        </w:tc>
        <w:tc>
          <w:tcPr>
            <w:tcW w:w="0" w:type="auto"/>
            <w:vAlign w:val="center"/>
          </w:tcPr>
          <w:p>
            <w:pPr>
              <w:widowControl/>
              <w:jc w:val="center"/>
              <w:textAlignment w:val="center"/>
              <w:rPr>
                <w:b/>
                <w:bCs/>
                <w:kern w:val="0"/>
                <w:sz w:val="20"/>
                <w:szCs w:val="21"/>
              </w:rPr>
            </w:pPr>
            <w:r>
              <w:rPr>
                <w:kern w:val="0"/>
                <w:sz w:val="22"/>
                <w:szCs w:val="22"/>
              </w:rPr>
              <w:t>㎡</w:t>
            </w:r>
          </w:p>
        </w:tc>
        <w:tc>
          <w:tcPr>
            <w:tcW w:w="0" w:type="auto"/>
            <w:vAlign w:val="center"/>
          </w:tcPr>
          <w:p>
            <w:pPr>
              <w:pStyle w:val="93"/>
              <w:jc w:val="center"/>
              <w:rPr>
                <w:kern w:val="0"/>
                <w:sz w:val="20"/>
                <w:szCs w:val="21"/>
              </w:rPr>
            </w:pPr>
            <w:r>
              <w:rPr>
                <w:kern w:val="0"/>
                <w:sz w:val="20"/>
                <w:szCs w:val="21"/>
              </w:rPr>
              <w:t>4050</w:t>
            </w:r>
          </w:p>
        </w:tc>
        <w:tc>
          <w:tcPr>
            <w:tcW w:w="0" w:type="auto"/>
            <w:vAlign w:val="center"/>
          </w:tcPr>
          <w:p>
            <w:pPr>
              <w:pStyle w:val="93"/>
              <w:jc w:val="center"/>
              <w:rPr>
                <w:kern w:val="0"/>
                <w:sz w:val="20"/>
                <w:szCs w:val="21"/>
              </w:rPr>
            </w:pPr>
            <w:r>
              <w:rPr>
                <w:kern w:val="0"/>
                <w:sz w:val="20"/>
                <w:szCs w:val="21"/>
              </w:rPr>
              <w:t>5950</w:t>
            </w:r>
          </w:p>
        </w:tc>
        <w:tc>
          <w:tcPr>
            <w:tcW w:w="0" w:type="auto"/>
            <w:vAlign w:val="center"/>
          </w:tcPr>
          <w:p>
            <w:pPr>
              <w:pStyle w:val="93"/>
              <w:jc w:val="center"/>
              <w:rPr>
                <w:kern w:val="0"/>
                <w:sz w:val="20"/>
                <w:szCs w:val="21"/>
              </w:rPr>
            </w:pPr>
            <w:r>
              <w:rPr>
                <w:kern w:val="0"/>
                <w:sz w:val="20"/>
                <w:szCs w:val="21"/>
              </w:rPr>
              <w:t>6050</w:t>
            </w:r>
          </w:p>
        </w:tc>
        <w:tc>
          <w:tcPr>
            <w:tcW w:w="0" w:type="auto"/>
            <w:vAlign w:val="center"/>
          </w:tcPr>
          <w:p>
            <w:pPr>
              <w:pStyle w:val="93"/>
              <w:jc w:val="center"/>
              <w:rPr>
                <w:kern w:val="0"/>
                <w:sz w:val="20"/>
                <w:szCs w:val="21"/>
              </w:rPr>
            </w:pPr>
            <w:r>
              <w:rPr>
                <w:kern w:val="0"/>
                <w:sz w:val="20"/>
                <w:szCs w:val="21"/>
              </w:rPr>
              <w:t>6020</w:t>
            </w:r>
          </w:p>
        </w:tc>
        <w:tc>
          <w:tcPr>
            <w:tcW w:w="0" w:type="auto"/>
            <w:vAlign w:val="center"/>
          </w:tcPr>
          <w:p>
            <w:pPr>
              <w:pStyle w:val="93"/>
              <w:jc w:val="center"/>
              <w:rPr>
                <w:kern w:val="0"/>
                <w:sz w:val="20"/>
                <w:szCs w:val="21"/>
              </w:rPr>
            </w:pPr>
            <w:r>
              <w:rPr>
                <w:kern w:val="0"/>
                <w:sz w:val="20"/>
                <w:szCs w:val="21"/>
              </w:rPr>
              <w:t>5960</w:t>
            </w:r>
          </w:p>
        </w:tc>
        <w:tc>
          <w:tcPr>
            <w:tcW w:w="0" w:type="auto"/>
            <w:vAlign w:val="center"/>
          </w:tcPr>
          <w:p>
            <w:pPr>
              <w:pStyle w:val="93"/>
              <w:jc w:val="center"/>
              <w:rPr>
                <w:kern w:val="0"/>
                <w:sz w:val="20"/>
                <w:szCs w:val="21"/>
              </w:rPr>
            </w:pPr>
            <w:r>
              <w:rPr>
                <w:kern w:val="0"/>
                <w:sz w:val="20"/>
                <w:szCs w:val="21"/>
              </w:rPr>
              <w:t>5080</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33110.00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边坡种植爬藤植物</w:t>
            </w:r>
          </w:p>
        </w:tc>
        <w:tc>
          <w:tcPr>
            <w:tcW w:w="0" w:type="auto"/>
            <w:vAlign w:val="center"/>
          </w:tcPr>
          <w:p>
            <w:pPr>
              <w:widowControl/>
              <w:jc w:val="center"/>
              <w:textAlignment w:val="center"/>
              <w:rPr>
                <w:b/>
                <w:bCs/>
                <w:kern w:val="0"/>
                <w:sz w:val="20"/>
                <w:szCs w:val="21"/>
              </w:rPr>
            </w:pPr>
            <w:r>
              <w:rPr>
                <w:kern w:val="0"/>
                <w:sz w:val="22"/>
                <w:szCs w:val="22"/>
              </w:rPr>
              <w:t>株</w:t>
            </w:r>
          </w:p>
        </w:tc>
        <w:tc>
          <w:tcPr>
            <w:tcW w:w="0" w:type="auto"/>
            <w:vAlign w:val="center"/>
          </w:tcPr>
          <w:p>
            <w:pPr>
              <w:pStyle w:val="93"/>
              <w:jc w:val="center"/>
              <w:rPr>
                <w:kern w:val="0"/>
                <w:sz w:val="20"/>
                <w:szCs w:val="21"/>
              </w:rPr>
            </w:pPr>
            <w:r>
              <w:rPr>
                <w:kern w:val="0"/>
                <w:sz w:val="20"/>
                <w:szCs w:val="21"/>
              </w:rPr>
              <w:t>972</w:t>
            </w:r>
          </w:p>
        </w:tc>
        <w:tc>
          <w:tcPr>
            <w:tcW w:w="0" w:type="auto"/>
            <w:vAlign w:val="center"/>
          </w:tcPr>
          <w:p>
            <w:pPr>
              <w:pStyle w:val="93"/>
              <w:jc w:val="center"/>
              <w:rPr>
                <w:kern w:val="0"/>
                <w:sz w:val="20"/>
                <w:szCs w:val="21"/>
              </w:rPr>
            </w:pPr>
            <w:r>
              <w:rPr>
                <w:kern w:val="0"/>
                <w:sz w:val="20"/>
                <w:szCs w:val="21"/>
              </w:rPr>
              <w:t>1580</w:t>
            </w:r>
          </w:p>
        </w:tc>
        <w:tc>
          <w:tcPr>
            <w:tcW w:w="0" w:type="auto"/>
            <w:vAlign w:val="center"/>
          </w:tcPr>
          <w:p>
            <w:pPr>
              <w:pStyle w:val="93"/>
              <w:jc w:val="center"/>
              <w:rPr>
                <w:kern w:val="0"/>
                <w:sz w:val="20"/>
                <w:szCs w:val="21"/>
              </w:rPr>
            </w:pPr>
            <w:r>
              <w:rPr>
                <w:kern w:val="0"/>
                <w:sz w:val="20"/>
                <w:szCs w:val="21"/>
              </w:rPr>
              <w:t>2420</w:t>
            </w:r>
          </w:p>
        </w:tc>
        <w:tc>
          <w:tcPr>
            <w:tcW w:w="0" w:type="auto"/>
            <w:vAlign w:val="center"/>
          </w:tcPr>
          <w:p>
            <w:pPr>
              <w:pStyle w:val="93"/>
              <w:jc w:val="center"/>
              <w:rPr>
                <w:kern w:val="0"/>
                <w:sz w:val="20"/>
                <w:szCs w:val="21"/>
              </w:rPr>
            </w:pPr>
            <w:r>
              <w:rPr>
                <w:kern w:val="0"/>
                <w:sz w:val="20"/>
                <w:szCs w:val="21"/>
              </w:rPr>
              <w:t>2408</w:t>
            </w:r>
          </w:p>
        </w:tc>
        <w:tc>
          <w:tcPr>
            <w:tcW w:w="0" w:type="auto"/>
            <w:vAlign w:val="center"/>
          </w:tcPr>
          <w:p>
            <w:pPr>
              <w:pStyle w:val="93"/>
              <w:jc w:val="center"/>
              <w:rPr>
                <w:kern w:val="0"/>
                <w:sz w:val="20"/>
                <w:szCs w:val="21"/>
              </w:rPr>
            </w:pPr>
            <w:r>
              <w:rPr>
                <w:kern w:val="0"/>
                <w:sz w:val="20"/>
                <w:szCs w:val="21"/>
              </w:rPr>
              <w:t>2384</w:t>
            </w:r>
          </w:p>
        </w:tc>
        <w:tc>
          <w:tcPr>
            <w:tcW w:w="0" w:type="auto"/>
            <w:vAlign w:val="center"/>
          </w:tcPr>
          <w:p>
            <w:pPr>
              <w:pStyle w:val="93"/>
              <w:jc w:val="center"/>
              <w:rPr>
                <w:kern w:val="0"/>
                <w:sz w:val="20"/>
                <w:szCs w:val="21"/>
              </w:rPr>
            </w:pPr>
            <w:r>
              <w:rPr>
                <w:kern w:val="0"/>
                <w:sz w:val="20"/>
                <w:szCs w:val="21"/>
              </w:rPr>
              <w:t>2032</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11796.00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kern w:val="0"/>
                <w:sz w:val="20"/>
                <w:szCs w:val="21"/>
              </w:rPr>
            </w:pPr>
            <w:r>
              <w:rPr>
                <w:kern w:val="0"/>
                <w:sz w:val="20"/>
                <w:szCs w:val="21"/>
              </w:rPr>
              <w:t>平台覆土外侧堆砌红砖</w:t>
            </w:r>
          </w:p>
        </w:tc>
        <w:tc>
          <w:tcPr>
            <w:tcW w:w="0" w:type="auto"/>
            <w:vAlign w:val="center"/>
          </w:tcPr>
          <w:p>
            <w:pPr>
              <w:widowControl/>
              <w:jc w:val="center"/>
              <w:textAlignment w:val="center"/>
              <w:rPr>
                <w:b/>
                <w:bCs/>
                <w:kern w:val="0"/>
                <w:sz w:val="20"/>
                <w:szCs w:val="21"/>
              </w:rPr>
            </w:pPr>
            <w:r>
              <w:rPr>
                <w:kern w:val="0"/>
                <w:sz w:val="22"/>
                <w:szCs w:val="22"/>
              </w:rPr>
              <w:t>个</w:t>
            </w:r>
          </w:p>
        </w:tc>
        <w:tc>
          <w:tcPr>
            <w:tcW w:w="0" w:type="auto"/>
            <w:vAlign w:val="center"/>
          </w:tcPr>
          <w:p>
            <w:pPr>
              <w:pStyle w:val="93"/>
              <w:jc w:val="center"/>
              <w:rPr>
                <w:kern w:val="0"/>
                <w:sz w:val="20"/>
                <w:szCs w:val="21"/>
              </w:rPr>
            </w:pPr>
            <w:r>
              <w:rPr>
                <w:kern w:val="0"/>
                <w:sz w:val="20"/>
                <w:szCs w:val="21"/>
              </w:rPr>
              <w:t>12150</w:t>
            </w:r>
          </w:p>
        </w:tc>
        <w:tc>
          <w:tcPr>
            <w:tcW w:w="0" w:type="auto"/>
            <w:vAlign w:val="center"/>
          </w:tcPr>
          <w:p>
            <w:pPr>
              <w:pStyle w:val="93"/>
              <w:jc w:val="center"/>
              <w:rPr>
                <w:kern w:val="0"/>
                <w:sz w:val="20"/>
                <w:szCs w:val="21"/>
              </w:rPr>
            </w:pPr>
            <w:r>
              <w:rPr>
                <w:kern w:val="0"/>
                <w:sz w:val="20"/>
                <w:szCs w:val="21"/>
              </w:rPr>
              <w:t>19750</w:t>
            </w:r>
          </w:p>
        </w:tc>
        <w:tc>
          <w:tcPr>
            <w:tcW w:w="0" w:type="auto"/>
            <w:vAlign w:val="center"/>
          </w:tcPr>
          <w:p>
            <w:pPr>
              <w:pStyle w:val="93"/>
              <w:jc w:val="center"/>
              <w:rPr>
                <w:kern w:val="0"/>
                <w:sz w:val="20"/>
                <w:szCs w:val="21"/>
              </w:rPr>
            </w:pPr>
            <w:r>
              <w:rPr>
                <w:kern w:val="0"/>
                <w:sz w:val="20"/>
                <w:szCs w:val="21"/>
              </w:rPr>
              <w:t>30250</w:t>
            </w:r>
          </w:p>
        </w:tc>
        <w:tc>
          <w:tcPr>
            <w:tcW w:w="0" w:type="auto"/>
            <w:vAlign w:val="center"/>
          </w:tcPr>
          <w:p>
            <w:pPr>
              <w:pStyle w:val="93"/>
              <w:jc w:val="center"/>
              <w:rPr>
                <w:kern w:val="0"/>
                <w:sz w:val="20"/>
                <w:szCs w:val="21"/>
              </w:rPr>
            </w:pPr>
            <w:r>
              <w:rPr>
                <w:kern w:val="0"/>
                <w:sz w:val="20"/>
                <w:szCs w:val="21"/>
              </w:rPr>
              <w:t>30100</w:t>
            </w:r>
          </w:p>
        </w:tc>
        <w:tc>
          <w:tcPr>
            <w:tcW w:w="0" w:type="auto"/>
            <w:vAlign w:val="center"/>
          </w:tcPr>
          <w:p>
            <w:pPr>
              <w:pStyle w:val="93"/>
              <w:jc w:val="center"/>
              <w:rPr>
                <w:kern w:val="0"/>
                <w:sz w:val="20"/>
                <w:szCs w:val="21"/>
              </w:rPr>
            </w:pPr>
            <w:r>
              <w:rPr>
                <w:kern w:val="0"/>
                <w:sz w:val="20"/>
                <w:szCs w:val="21"/>
              </w:rPr>
              <w:t>29800</w:t>
            </w:r>
          </w:p>
        </w:tc>
        <w:tc>
          <w:tcPr>
            <w:tcW w:w="0" w:type="auto"/>
            <w:vAlign w:val="center"/>
          </w:tcPr>
          <w:p>
            <w:pPr>
              <w:pStyle w:val="93"/>
              <w:jc w:val="center"/>
              <w:rPr>
                <w:kern w:val="0"/>
                <w:sz w:val="20"/>
                <w:szCs w:val="21"/>
              </w:rPr>
            </w:pPr>
            <w:r>
              <w:rPr>
                <w:kern w:val="0"/>
                <w:sz w:val="20"/>
                <w:szCs w:val="21"/>
              </w:rPr>
              <w:t>25400</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 w:val="22"/>
                <w:szCs w:val="22"/>
              </w:rPr>
              <w:t xml:space="preserve">147450.00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b/>
                <w:bCs/>
                <w:kern w:val="0"/>
                <w:sz w:val="20"/>
                <w:szCs w:val="21"/>
              </w:rPr>
            </w:pPr>
            <w:r>
              <w:rPr>
                <w:b/>
                <w:bCs/>
                <w:kern w:val="0"/>
                <w:sz w:val="20"/>
                <w:szCs w:val="21"/>
              </w:rPr>
              <w:t>露采场沉淀池</w:t>
            </w:r>
          </w:p>
        </w:tc>
        <w:tc>
          <w:tcPr>
            <w:tcW w:w="0" w:type="auto"/>
            <w:vAlign w:val="center"/>
          </w:tcPr>
          <w:p>
            <w:pPr>
              <w:pStyle w:val="93"/>
              <w:jc w:val="center"/>
              <w:rPr>
                <w:b/>
                <w:bCs/>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pPr>
              <w:pStyle w:val="93"/>
              <w:jc w:val="center"/>
              <w:rPr>
                <w:b/>
                <w:bCs/>
                <w:kern w:val="0"/>
                <w:sz w:val="20"/>
                <w:szCs w:val="21"/>
              </w:rPr>
            </w:pPr>
          </w:p>
        </w:tc>
        <w:tc>
          <w:tcPr>
            <w:tcW w:w="0" w:type="auto"/>
            <w:vAlign w:val="center"/>
          </w:tcPr>
          <w:p>
            <w:pPr>
              <w:pStyle w:val="93"/>
              <w:jc w:val="center"/>
              <w:rPr>
                <w:b/>
                <w:bCs/>
                <w:kern w:val="0"/>
                <w:sz w:val="20"/>
                <w:szCs w:val="21"/>
              </w:rPr>
            </w:pPr>
            <w:r>
              <w:rPr>
                <w:kern w:val="0"/>
                <w:sz w:val="20"/>
                <w:szCs w:val="21"/>
              </w:rPr>
              <w:t>挖土方</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170.10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170.10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b/>
                <w:bCs/>
                <w:kern w:val="0"/>
                <w:sz w:val="20"/>
                <w:szCs w:val="21"/>
              </w:rPr>
            </w:pPr>
            <w:r>
              <w:rPr>
                <w:kern w:val="0"/>
                <w:szCs w:val="21"/>
              </w:rPr>
              <w:t>弃方</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170.10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170.10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b/>
                <w:bCs/>
                <w:kern w:val="0"/>
                <w:sz w:val="20"/>
                <w:szCs w:val="21"/>
              </w:rPr>
            </w:pPr>
            <w:r>
              <w:rPr>
                <w:kern w:val="0"/>
                <w:szCs w:val="21"/>
              </w:rPr>
              <w:t>防渗砼</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24.30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24.30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b/>
                <w:bCs/>
                <w:kern w:val="0"/>
                <w:sz w:val="20"/>
                <w:szCs w:val="21"/>
              </w:rPr>
            </w:pPr>
            <w:r>
              <w:rPr>
                <w:kern w:val="0"/>
                <w:szCs w:val="21"/>
              </w:rPr>
              <w:t>浆砌片石</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108.00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108.00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b/>
                <w:bCs/>
                <w:kern w:val="0"/>
                <w:sz w:val="20"/>
                <w:szCs w:val="21"/>
              </w:rPr>
            </w:pPr>
            <w:r>
              <w:rPr>
                <w:kern w:val="0"/>
                <w:szCs w:val="21"/>
              </w:rPr>
              <w:t>砂浆抹面（厚0.03m）</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widowControl/>
              <w:jc w:val="center"/>
              <w:textAlignment w:val="center"/>
              <w:rPr>
                <w:kern w:val="0"/>
                <w:sz w:val="20"/>
                <w:szCs w:val="21"/>
              </w:rPr>
            </w:pPr>
            <w:r>
              <w:rPr>
                <w:kern w:val="0"/>
                <w:szCs w:val="21"/>
              </w:rPr>
              <w:t xml:space="preserve">105.84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105.84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防护栏</w:t>
            </w:r>
          </w:p>
        </w:tc>
        <w:tc>
          <w:tcPr>
            <w:tcW w:w="0" w:type="auto"/>
            <w:vAlign w:val="center"/>
          </w:tcPr>
          <w:p>
            <w:pPr>
              <w:widowControl/>
              <w:jc w:val="center"/>
              <w:textAlignment w:val="center"/>
              <w:rPr>
                <w:kern w:val="0"/>
                <w:sz w:val="20"/>
                <w:szCs w:val="21"/>
              </w:rPr>
            </w:pPr>
            <w:r>
              <w:rPr>
                <w:kern w:val="0"/>
                <w:szCs w:val="21"/>
              </w:rPr>
              <w:t>m</w:t>
            </w:r>
          </w:p>
        </w:tc>
        <w:tc>
          <w:tcPr>
            <w:tcW w:w="0" w:type="auto"/>
            <w:vAlign w:val="center"/>
          </w:tcPr>
          <w:p>
            <w:pPr>
              <w:widowControl/>
              <w:jc w:val="center"/>
              <w:textAlignment w:val="center"/>
              <w:rPr>
                <w:kern w:val="0"/>
                <w:sz w:val="20"/>
                <w:szCs w:val="21"/>
              </w:rPr>
            </w:pPr>
            <w:r>
              <w:rPr>
                <w:kern w:val="0"/>
                <w:szCs w:val="21"/>
              </w:rPr>
              <w:t xml:space="preserve">72.00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72.00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b/>
                <w:bCs/>
                <w:kern w:val="0"/>
                <w:szCs w:val="21"/>
              </w:rPr>
              <w:t>东南侧边坡除险</w:t>
            </w:r>
            <w:r>
              <w:rPr>
                <w:rFonts w:hint="eastAsia"/>
                <w:b/>
                <w:bCs/>
                <w:kern w:val="0"/>
                <w:szCs w:val="21"/>
              </w:rPr>
              <w:t>（60以上）</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土方开挖</w:t>
            </w:r>
          </w:p>
        </w:tc>
        <w:tc>
          <w:tcPr>
            <w:tcW w:w="0" w:type="auto"/>
            <w:vAlign w:val="center"/>
          </w:tcPr>
          <w:p>
            <w:pPr>
              <w:widowControl/>
              <w:jc w:val="center"/>
              <w:textAlignment w:val="center"/>
              <w:rPr>
                <w:kern w:val="0"/>
                <w:sz w:val="20"/>
                <w:szCs w:val="21"/>
              </w:rPr>
            </w:pPr>
            <w:r>
              <w:rPr>
                <w:kern w:val="0"/>
                <w:szCs w:val="21"/>
              </w:rPr>
              <w:t>m</w:t>
            </w:r>
            <w:r>
              <w:rPr>
                <w:rStyle w:val="183"/>
                <w:color w:val="auto"/>
              </w:rPr>
              <w:t>3</w:t>
            </w:r>
          </w:p>
        </w:tc>
        <w:tc>
          <w:tcPr>
            <w:tcW w:w="0" w:type="auto"/>
            <w:vAlign w:val="center"/>
          </w:tcPr>
          <w:p>
            <w:pPr>
              <w:widowControl/>
              <w:jc w:val="center"/>
              <w:textAlignment w:val="center"/>
              <w:rPr>
                <w:kern w:val="0"/>
                <w:sz w:val="20"/>
                <w:szCs w:val="21"/>
              </w:rPr>
            </w:pPr>
            <w:r>
              <w:rPr>
                <w:kern w:val="0"/>
                <w:szCs w:val="21"/>
              </w:rPr>
              <w:t xml:space="preserve">180.00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土方回填</w:t>
            </w:r>
          </w:p>
        </w:tc>
        <w:tc>
          <w:tcPr>
            <w:tcW w:w="0" w:type="auto"/>
            <w:vAlign w:val="center"/>
          </w:tcPr>
          <w:p>
            <w:pPr>
              <w:widowControl/>
              <w:jc w:val="center"/>
              <w:textAlignment w:val="center"/>
              <w:rPr>
                <w:kern w:val="0"/>
                <w:sz w:val="20"/>
                <w:szCs w:val="21"/>
              </w:rPr>
            </w:pPr>
            <w:r>
              <w:rPr>
                <w:kern w:val="0"/>
                <w:szCs w:val="21"/>
              </w:rPr>
              <w:t>m</w:t>
            </w:r>
            <w:r>
              <w:rPr>
                <w:rStyle w:val="183"/>
                <w:color w:val="auto"/>
              </w:rPr>
              <w:t>3</w:t>
            </w:r>
          </w:p>
        </w:tc>
        <w:tc>
          <w:tcPr>
            <w:tcW w:w="0" w:type="auto"/>
            <w:vAlign w:val="center"/>
          </w:tcPr>
          <w:p>
            <w:pPr>
              <w:widowControl/>
              <w:jc w:val="center"/>
              <w:textAlignment w:val="center"/>
              <w:rPr>
                <w:kern w:val="0"/>
                <w:sz w:val="20"/>
                <w:szCs w:val="21"/>
              </w:rPr>
            </w:pPr>
            <w:r>
              <w:rPr>
                <w:kern w:val="0"/>
                <w:szCs w:val="21"/>
              </w:rPr>
              <w:t xml:space="preserve">175.00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175.00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土壤培肥（有机肥）</w:t>
            </w:r>
          </w:p>
        </w:tc>
        <w:tc>
          <w:tcPr>
            <w:tcW w:w="0" w:type="auto"/>
            <w:vAlign w:val="center"/>
          </w:tcPr>
          <w:p>
            <w:pPr>
              <w:widowControl/>
              <w:jc w:val="center"/>
              <w:textAlignment w:val="center"/>
              <w:rPr>
                <w:kern w:val="0"/>
                <w:sz w:val="20"/>
                <w:szCs w:val="21"/>
              </w:rPr>
            </w:pPr>
            <w:r>
              <w:rPr>
                <w:kern w:val="0"/>
                <w:szCs w:val="21"/>
              </w:rPr>
              <w:t>kg</w:t>
            </w:r>
          </w:p>
        </w:tc>
        <w:tc>
          <w:tcPr>
            <w:tcW w:w="0" w:type="auto"/>
            <w:vAlign w:val="center"/>
          </w:tcPr>
          <w:p>
            <w:pPr>
              <w:widowControl/>
              <w:jc w:val="center"/>
              <w:textAlignment w:val="center"/>
              <w:rPr>
                <w:kern w:val="0"/>
                <w:sz w:val="20"/>
                <w:szCs w:val="21"/>
              </w:rPr>
            </w:pPr>
            <w:r>
              <w:rPr>
                <w:kern w:val="0"/>
                <w:szCs w:val="21"/>
              </w:rPr>
              <w:t xml:space="preserve">160.50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160.50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土壤培肥（保水剂）</w:t>
            </w:r>
          </w:p>
        </w:tc>
        <w:tc>
          <w:tcPr>
            <w:tcW w:w="0" w:type="auto"/>
            <w:vAlign w:val="center"/>
          </w:tcPr>
          <w:p>
            <w:pPr>
              <w:widowControl/>
              <w:jc w:val="center"/>
              <w:textAlignment w:val="center"/>
              <w:rPr>
                <w:kern w:val="0"/>
                <w:sz w:val="20"/>
                <w:szCs w:val="21"/>
              </w:rPr>
            </w:pPr>
            <w:r>
              <w:rPr>
                <w:kern w:val="0"/>
                <w:szCs w:val="21"/>
              </w:rPr>
              <w:t>kg</w:t>
            </w:r>
          </w:p>
        </w:tc>
        <w:tc>
          <w:tcPr>
            <w:tcW w:w="0" w:type="auto"/>
            <w:vAlign w:val="center"/>
          </w:tcPr>
          <w:p>
            <w:pPr>
              <w:widowControl/>
              <w:jc w:val="center"/>
              <w:textAlignment w:val="center"/>
              <w:rPr>
                <w:kern w:val="0"/>
                <w:sz w:val="20"/>
                <w:szCs w:val="21"/>
              </w:rPr>
            </w:pPr>
            <w:r>
              <w:rPr>
                <w:kern w:val="0"/>
                <w:szCs w:val="21"/>
              </w:rPr>
              <w:t xml:space="preserve">16.05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撒播草籽</w:t>
            </w:r>
          </w:p>
        </w:tc>
        <w:tc>
          <w:tcPr>
            <w:tcW w:w="0" w:type="auto"/>
            <w:vAlign w:val="center"/>
          </w:tcPr>
          <w:p>
            <w:pPr>
              <w:widowControl/>
              <w:jc w:val="center"/>
              <w:textAlignment w:val="center"/>
              <w:rPr>
                <w:kern w:val="0"/>
                <w:sz w:val="20"/>
                <w:szCs w:val="21"/>
              </w:rPr>
            </w:pPr>
            <w:r>
              <w:rPr>
                <w:kern w:val="0"/>
                <w:szCs w:val="21"/>
              </w:rPr>
              <w:t>hm</w:t>
            </w:r>
            <w:r>
              <w:rPr>
                <w:rStyle w:val="183"/>
                <w:color w:val="auto"/>
              </w:rPr>
              <w:t>2</w:t>
            </w:r>
          </w:p>
        </w:tc>
        <w:tc>
          <w:tcPr>
            <w:tcW w:w="0" w:type="auto"/>
            <w:vAlign w:val="center"/>
          </w:tcPr>
          <w:p>
            <w:pPr>
              <w:widowControl/>
              <w:jc w:val="center"/>
              <w:textAlignment w:val="center"/>
              <w:rPr>
                <w:kern w:val="0"/>
                <w:sz w:val="20"/>
                <w:szCs w:val="21"/>
              </w:rPr>
            </w:pPr>
            <w:r>
              <w:rPr>
                <w:kern w:val="0"/>
                <w:szCs w:val="21"/>
              </w:rPr>
              <w:t xml:space="preserve">0.02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textAlignment w:val="center"/>
              <w:rPr>
                <w:b/>
                <w:kern w:val="0"/>
                <w:szCs w:val="21"/>
              </w:rPr>
            </w:pPr>
            <w:r>
              <w:rPr>
                <w:b/>
                <w:bCs/>
                <w:kern w:val="0"/>
                <w:szCs w:val="21"/>
              </w:rPr>
              <w:t>东南侧边坡除险</w:t>
            </w:r>
            <w:r>
              <w:rPr>
                <w:rFonts w:hint="eastAsia"/>
                <w:b/>
                <w:bCs/>
                <w:kern w:val="0"/>
                <w:szCs w:val="21"/>
              </w:rPr>
              <w:t>（50-60）</w:t>
            </w:r>
          </w:p>
        </w:tc>
        <w:tc>
          <w:tcPr>
            <w:tcW w:w="0" w:type="auto"/>
            <w:vAlign w:val="center"/>
          </w:tcPr>
          <w:p>
            <w:pPr>
              <w:widowControl/>
              <w:jc w:val="center"/>
              <w:textAlignment w:val="center"/>
              <w:rPr>
                <w:kern w:val="0"/>
                <w:szCs w:val="21"/>
              </w:rPr>
            </w:pP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挖土方</w:t>
            </w:r>
          </w:p>
        </w:tc>
        <w:tc>
          <w:tcPr>
            <w:tcW w:w="0" w:type="auto"/>
            <w:vAlign w:val="center"/>
          </w:tcPr>
          <w:p>
            <w:pPr>
              <w:widowControl/>
              <w:jc w:val="center"/>
              <w:rPr>
                <w:rFonts w:eastAsia="等线"/>
                <w:kern w:val="0"/>
                <w:szCs w:val="21"/>
              </w:rPr>
            </w:pPr>
            <w:r>
              <w:rPr>
                <w:rFonts w:eastAsia="等线"/>
                <w:szCs w:val="21"/>
              </w:rPr>
              <w:t>m</w:t>
            </w:r>
            <w:r>
              <w:rPr>
                <w:rFonts w:eastAsia="等线"/>
                <w:szCs w:val="21"/>
                <w:vertAlign w:val="superscript"/>
              </w:rPr>
              <w:t>3</w:t>
            </w: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rFonts w:hint="eastAsia"/>
                <w:kern w:val="0"/>
                <w:szCs w:val="21"/>
              </w:rPr>
              <w:t>225</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1151" w:type="dxa"/>
            <w:vAlign w:val="center"/>
          </w:tcPr>
          <w:p>
            <w:pPr>
              <w:widowControl/>
              <w:jc w:val="center"/>
              <w:textAlignment w:val="center"/>
              <w:rPr>
                <w:kern w:val="0"/>
                <w:szCs w:val="21"/>
              </w:rPr>
            </w:pPr>
            <w:r>
              <w:rPr>
                <w:rFonts w:hint="eastAsia"/>
                <w:kern w:val="0"/>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rFonts w:hint="eastAsia"/>
                <w:kern w:val="0"/>
                <w:szCs w:val="21"/>
              </w:rPr>
              <w:t>土方回填</w:t>
            </w:r>
          </w:p>
        </w:tc>
        <w:tc>
          <w:tcPr>
            <w:tcW w:w="0" w:type="auto"/>
            <w:vAlign w:val="center"/>
          </w:tcPr>
          <w:p>
            <w:pPr>
              <w:jc w:val="center"/>
              <w:rPr>
                <w:rFonts w:eastAsia="等线"/>
                <w:szCs w:val="21"/>
              </w:rPr>
            </w:pPr>
            <w:r>
              <w:rPr>
                <w:rFonts w:eastAsia="等线"/>
                <w:szCs w:val="21"/>
              </w:rPr>
              <w:t>m</w:t>
            </w:r>
            <w:r>
              <w:rPr>
                <w:rFonts w:eastAsia="等线"/>
                <w:szCs w:val="21"/>
                <w:vertAlign w:val="superscript"/>
              </w:rPr>
              <w:t>3</w:t>
            </w: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rFonts w:hint="eastAsia"/>
                <w:kern w:val="0"/>
                <w:szCs w:val="21"/>
              </w:rPr>
              <w:t>200</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1151" w:type="dxa"/>
            <w:vAlign w:val="center"/>
          </w:tcPr>
          <w:p>
            <w:pPr>
              <w:widowControl/>
              <w:jc w:val="center"/>
              <w:textAlignment w:val="center"/>
              <w:rPr>
                <w:kern w:val="0"/>
                <w:szCs w:val="21"/>
              </w:rPr>
            </w:pPr>
            <w:r>
              <w:rPr>
                <w:rFonts w:hint="eastAsia"/>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砂浆抹面2cm</w:t>
            </w:r>
          </w:p>
        </w:tc>
        <w:tc>
          <w:tcPr>
            <w:tcW w:w="0" w:type="auto"/>
            <w:vAlign w:val="center"/>
          </w:tcPr>
          <w:p>
            <w:pPr>
              <w:jc w:val="center"/>
              <w:rPr>
                <w:rFonts w:eastAsia="等线"/>
                <w:szCs w:val="21"/>
              </w:rPr>
            </w:pPr>
            <w:r>
              <w:rPr>
                <w:rFonts w:eastAsia="等线"/>
                <w:szCs w:val="21"/>
              </w:rPr>
              <w:t>m</w:t>
            </w:r>
            <w:r>
              <w:rPr>
                <w:rFonts w:eastAsia="等线"/>
                <w:szCs w:val="21"/>
                <w:vertAlign w:val="superscript"/>
              </w:rPr>
              <w:t>2</w:t>
            </w: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rFonts w:hint="eastAsia"/>
                <w:kern w:val="0"/>
                <w:szCs w:val="21"/>
              </w:rPr>
              <w:t>2160</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1151" w:type="dxa"/>
            <w:vAlign w:val="center"/>
          </w:tcPr>
          <w:p>
            <w:pPr>
              <w:widowControl/>
              <w:jc w:val="center"/>
              <w:textAlignment w:val="center"/>
              <w:rPr>
                <w:kern w:val="0"/>
                <w:szCs w:val="21"/>
              </w:rPr>
            </w:pPr>
            <w:r>
              <w:rPr>
                <w:rFonts w:hint="eastAsia"/>
                <w:kern w:val="0"/>
                <w:szCs w:val="21"/>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rFonts w:hint="eastAsia"/>
                <w:kern w:val="0"/>
                <w:szCs w:val="21"/>
              </w:rPr>
              <w:t>浆砌片石</w:t>
            </w:r>
          </w:p>
        </w:tc>
        <w:tc>
          <w:tcPr>
            <w:tcW w:w="0" w:type="auto"/>
            <w:vAlign w:val="center"/>
          </w:tcPr>
          <w:p>
            <w:pPr>
              <w:jc w:val="center"/>
              <w:rPr>
                <w:rFonts w:eastAsia="等线"/>
                <w:szCs w:val="21"/>
              </w:rPr>
            </w:pPr>
            <w:r>
              <w:rPr>
                <w:rFonts w:eastAsia="等线"/>
                <w:szCs w:val="21"/>
              </w:rPr>
              <w:t>m</w:t>
            </w:r>
            <w:r>
              <w:rPr>
                <w:rFonts w:eastAsia="等线"/>
                <w:szCs w:val="21"/>
                <w:vertAlign w:val="superscript"/>
              </w:rPr>
              <w:t>3</w:t>
            </w: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rFonts w:hint="eastAsia"/>
                <w:kern w:val="0"/>
                <w:szCs w:val="21"/>
              </w:rPr>
              <w:t>432</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1151" w:type="dxa"/>
            <w:vAlign w:val="center"/>
          </w:tcPr>
          <w:p>
            <w:pPr>
              <w:widowControl/>
              <w:jc w:val="center"/>
              <w:textAlignment w:val="center"/>
              <w:rPr>
                <w:kern w:val="0"/>
                <w:szCs w:val="21"/>
              </w:rPr>
            </w:pPr>
            <w:r>
              <w:rPr>
                <w:rFonts w:hint="eastAsia"/>
                <w:kern w:val="0"/>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PVC泄水管</w:t>
            </w:r>
          </w:p>
        </w:tc>
        <w:tc>
          <w:tcPr>
            <w:tcW w:w="0" w:type="auto"/>
            <w:vAlign w:val="center"/>
          </w:tcPr>
          <w:p>
            <w:pPr>
              <w:jc w:val="center"/>
              <w:rPr>
                <w:rFonts w:eastAsia="等线"/>
                <w:szCs w:val="21"/>
              </w:rPr>
            </w:pPr>
            <w:r>
              <w:rPr>
                <w:rFonts w:eastAsia="等线"/>
                <w:szCs w:val="21"/>
              </w:rPr>
              <w:t>m</w:t>
            </w:r>
          </w:p>
        </w:tc>
        <w:tc>
          <w:tcPr>
            <w:tcW w:w="0" w:type="auto"/>
            <w:vAlign w:val="center"/>
          </w:tcPr>
          <w:p>
            <w:pPr>
              <w:widowControl/>
              <w:jc w:val="center"/>
              <w:textAlignment w:val="center"/>
              <w:rPr>
                <w:kern w:val="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rFonts w:hint="eastAsia"/>
                <w:kern w:val="0"/>
                <w:szCs w:val="21"/>
              </w:rPr>
              <w:t>13.2</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1151" w:type="dxa"/>
            <w:vAlign w:val="center"/>
          </w:tcPr>
          <w:p>
            <w:pPr>
              <w:widowControl/>
              <w:jc w:val="center"/>
              <w:textAlignment w:val="center"/>
              <w:rPr>
                <w:kern w:val="0"/>
                <w:szCs w:val="21"/>
              </w:rPr>
            </w:pPr>
            <w:r>
              <w:rPr>
                <w:rFonts w:hint="eastAsia"/>
                <w:kern w:val="0"/>
                <w:szCs w:val="2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b/>
                <w:bCs/>
                <w:kern w:val="0"/>
                <w:szCs w:val="21"/>
              </w:rPr>
              <w:t>境外截水沟</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挖土方</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850.42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850.42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弃方</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732.54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732.54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浆砌块石</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widowControl/>
              <w:jc w:val="center"/>
              <w:textAlignment w:val="center"/>
              <w:rPr>
                <w:kern w:val="0"/>
                <w:sz w:val="20"/>
                <w:szCs w:val="21"/>
              </w:rPr>
            </w:pPr>
            <w:r>
              <w:rPr>
                <w:kern w:val="0"/>
                <w:szCs w:val="21"/>
              </w:rPr>
              <w:t xml:space="preserve">313.22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313.22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砼垫层(厚0.1m)</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widowControl/>
              <w:jc w:val="center"/>
              <w:textAlignment w:val="center"/>
              <w:rPr>
                <w:kern w:val="0"/>
                <w:sz w:val="20"/>
                <w:szCs w:val="21"/>
              </w:rPr>
            </w:pPr>
            <w:r>
              <w:rPr>
                <w:kern w:val="0"/>
                <w:szCs w:val="21"/>
              </w:rPr>
              <w:t xml:space="preserve">104.41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104.41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砂浆抹面(厚0.02m)</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widowControl/>
              <w:jc w:val="center"/>
              <w:textAlignment w:val="center"/>
              <w:rPr>
                <w:kern w:val="0"/>
                <w:sz w:val="20"/>
                <w:szCs w:val="21"/>
              </w:rPr>
            </w:pPr>
            <w:r>
              <w:rPr>
                <w:kern w:val="0"/>
                <w:szCs w:val="21"/>
              </w:rPr>
              <w:t xml:space="preserve">2037.64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2037.64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伸缩缝（m</w:t>
            </w:r>
            <w:r>
              <w:rPr>
                <w:kern w:val="0"/>
                <w:szCs w:val="21"/>
                <w:vertAlign w:val="superscript"/>
              </w:rPr>
              <w:t>2</w:t>
            </w:r>
            <w:r>
              <w:rPr>
                <w:kern w:val="0"/>
                <w:szCs w:val="21"/>
              </w:rPr>
              <w:t>）</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widowControl/>
              <w:jc w:val="center"/>
              <w:textAlignment w:val="center"/>
              <w:rPr>
                <w:kern w:val="0"/>
                <w:sz w:val="20"/>
                <w:szCs w:val="21"/>
              </w:rPr>
            </w:pPr>
            <w:r>
              <w:rPr>
                <w:kern w:val="0"/>
                <w:szCs w:val="21"/>
              </w:rPr>
              <w:t xml:space="preserve">8.89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 w:val="20"/>
                <w:szCs w:val="21"/>
              </w:rPr>
            </w:pPr>
            <w:r>
              <w:rPr>
                <w:kern w:val="0"/>
                <w:szCs w:val="21"/>
              </w:rPr>
              <w:t xml:space="preserve">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b/>
                <w:bCs/>
                <w:kern w:val="0"/>
                <w:szCs w:val="21"/>
              </w:rPr>
              <w:t>泄洪道</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挖</w:t>
            </w:r>
            <w:r>
              <w:rPr>
                <w:kern w:val="0"/>
                <w:sz w:val="18"/>
                <w:szCs w:val="18"/>
              </w:rPr>
              <w:t>方</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219.00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219.00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盖板（混凝土）</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43.80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浆砌块石</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70.08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70.08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现浇底板</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3</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43.80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砂浆抹面</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233.60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233.60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Cs w:val="21"/>
              </w:rPr>
              <w:t>伸缩缝</w:t>
            </w:r>
          </w:p>
        </w:tc>
        <w:tc>
          <w:tcPr>
            <w:tcW w:w="0" w:type="auto"/>
            <w:vAlign w:val="center"/>
          </w:tcPr>
          <w:p>
            <w:pPr>
              <w:widowControl/>
              <w:jc w:val="center"/>
              <w:textAlignment w:val="center"/>
              <w:rPr>
                <w:kern w:val="0"/>
                <w:sz w:val="20"/>
                <w:szCs w:val="21"/>
              </w:rPr>
            </w:pPr>
            <w:r>
              <w:rPr>
                <w:kern w:val="0"/>
                <w:szCs w:val="21"/>
              </w:rPr>
              <w:t>m</w:t>
            </w:r>
            <w:r>
              <w:rPr>
                <w:kern w:val="0"/>
                <w:szCs w:val="21"/>
                <w:vertAlign w:val="superscript"/>
              </w:rPr>
              <w:t>2</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Cs w:val="21"/>
              </w:rPr>
              <w:t xml:space="preserve">1.54 </w:t>
            </w:r>
          </w:p>
        </w:tc>
        <w:tc>
          <w:tcPr>
            <w:tcW w:w="0" w:type="auto"/>
            <w:vAlign w:val="center"/>
          </w:tcPr>
          <w:p>
            <w:pPr>
              <w:pStyle w:val="93"/>
              <w:jc w:val="center"/>
              <w:rPr>
                <w:kern w:val="0"/>
                <w:szCs w:val="21"/>
              </w:rPr>
            </w:pPr>
          </w:p>
        </w:tc>
        <w:tc>
          <w:tcPr>
            <w:tcW w:w="0" w:type="auto"/>
            <w:vAlign w:val="center"/>
          </w:tcPr>
          <w:p>
            <w:pPr>
              <w:widowControl/>
              <w:jc w:val="center"/>
              <w:textAlignment w:val="center"/>
              <w:rPr>
                <w:kern w:val="0"/>
                <w:szCs w:val="21"/>
              </w:rPr>
            </w:pPr>
            <w:r>
              <w:rPr>
                <w:kern w:val="0"/>
                <w:szCs w:val="21"/>
              </w:rPr>
              <w:t xml:space="preserve">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 w:val="22"/>
                <w:szCs w:val="22"/>
              </w:rPr>
              <w:t>铁丝网围栏</w:t>
            </w:r>
          </w:p>
        </w:tc>
        <w:tc>
          <w:tcPr>
            <w:tcW w:w="0" w:type="auto"/>
            <w:vAlign w:val="center"/>
          </w:tcPr>
          <w:p>
            <w:pPr>
              <w:pStyle w:val="93"/>
              <w:jc w:val="center"/>
              <w:rPr>
                <w:kern w:val="0"/>
                <w:sz w:val="20"/>
                <w:szCs w:val="21"/>
              </w:rPr>
            </w:pPr>
            <w:r>
              <w:rPr>
                <w:kern w:val="0"/>
                <w:sz w:val="20"/>
                <w:szCs w:val="21"/>
              </w:rPr>
              <w:t>m</w:t>
            </w:r>
          </w:p>
        </w:tc>
        <w:tc>
          <w:tcPr>
            <w:tcW w:w="0" w:type="auto"/>
            <w:vAlign w:val="center"/>
          </w:tcPr>
          <w:p>
            <w:pPr>
              <w:widowControl/>
              <w:jc w:val="center"/>
              <w:textAlignment w:val="center"/>
              <w:rPr>
                <w:szCs w:val="21"/>
              </w:rPr>
            </w:pPr>
            <w:r>
              <w:rPr>
                <w:kern w:val="0"/>
                <w:szCs w:val="21"/>
              </w:rPr>
              <w:t xml:space="preserve">702.00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sz w:val="22"/>
                <w:szCs w:val="22"/>
              </w:rPr>
            </w:pPr>
            <w:r>
              <w:rPr>
                <w:kern w:val="0"/>
                <w:sz w:val="22"/>
                <w:szCs w:val="22"/>
              </w:rPr>
              <w:t>619.00</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 w:val="22"/>
                <w:szCs w:val="22"/>
              </w:rPr>
              <w:t>警示牌</w:t>
            </w:r>
          </w:p>
        </w:tc>
        <w:tc>
          <w:tcPr>
            <w:tcW w:w="0" w:type="auto"/>
            <w:vAlign w:val="center"/>
          </w:tcPr>
          <w:p>
            <w:pPr>
              <w:pStyle w:val="93"/>
              <w:jc w:val="center"/>
              <w:rPr>
                <w:kern w:val="0"/>
                <w:sz w:val="20"/>
                <w:szCs w:val="21"/>
              </w:rPr>
            </w:pPr>
            <w:r>
              <w:rPr>
                <w:kern w:val="0"/>
                <w:sz w:val="20"/>
                <w:szCs w:val="21"/>
              </w:rPr>
              <w:t>块</w:t>
            </w:r>
          </w:p>
        </w:tc>
        <w:tc>
          <w:tcPr>
            <w:tcW w:w="0" w:type="auto"/>
            <w:vAlign w:val="center"/>
          </w:tcPr>
          <w:p>
            <w:pPr>
              <w:widowControl/>
              <w:jc w:val="center"/>
              <w:textAlignment w:val="center"/>
              <w:rPr>
                <w:szCs w:val="21"/>
              </w:rPr>
            </w:pPr>
            <w:r>
              <w:rPr>
                <w:kern w:val="0"/>
                <w:szCs w:val="21"/>
              </w:rPr>
              <w:t xml:space="preserve">15.00 </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restart"/>
            <w:vAlign w:val="center"/>
          </w:tcPr>
          <w:p>
            <w:pPr>
              <w:pStyle w:val="93"/>
              <w:jc w:val="center"/>
              <w:rPr>
                <w:b/>
                <w:bCs/>
                <w:kern w:val="0"/>
                <w:sz w:val="20"/>
                <w:szCs w:val="21"/>
              </w:rPr>
            </w:pPr>
            <w:r>
              <w:rPr>
                <w:b/>
                <w:bCs/>
                <w:kern w:val="0"/>
                <w:sz w:val="20"/>
                <w:szCs w:val="21"/>
              </w:rPr>
              <w:t>监测工程</w:t>
            </w:r>
          </w:p>
        </w:tc>
        <w:tc>
          <w:tcPr>
            <w:tcW w:w="0" w:type="auto"/>
            <w:vAlign w:val="center"/>
          </w:tcPr>
          <w:p>
            <w:pPr>
              <w:widowControl/>
              <w:jc w:val="center"/>
              <w:textAlignment w:val="center"/>
              <w:rPr>
                <w:kern w:val="0"/>
                <w:szCs w:val="21"/>
              </w:rPr>
            </w:pPr>
            <w:r>
              <w:rPr>
                <w:kern w:val="0"/>
                <w:sz w:val="22"/>
                <w:szCs w:val="22"/>
              </w:rPr>
              <w:t>地质灾害监测</w:t>
            </w:r>
          </w:p>
        </w:tc>
        <w:tc>
          <w:tcPr>
            <w:tcW w:w="0" w:type="auto"/>
            <w:vAlign w:val="center"/>
          </w:tcPr>
          <w:p>
            <w:pPr>
              <w:pStyle w:val="93"/>
              <w:jc w:val="center"/>
              <w:rPr>
                <w:kern w:val="0"/>
                <w:sz w:val="20"/>
                <w:szCs w:val="21"/>
              </w:rPr>
            </w:pPr>
            <w:r>
              <w:rPr>
                <w:kern w:val="0"/>
                <w:sz w:val="20"/>
                <w:szCs w:val="21"/>
              </w:rPr>
              <w:t>工班</w:t>
            </w:r>
          </w:p>
        </w:tc>
        <w:tc>
          <w:tcPr>
            <w:tcW w:w="0" w:type="auto"/>
            <w:vAlign w:val="center"/>
          </w:tcPr>
          <w:p>
            <w:pPr>
              <w:widowControl/>
              <w:jc w:val="center"/>
              <w:textAlignment w:val="center"/>
              <w:rPr>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18.00</w:t>
            </w:r>
          </w:p>
        </w:tc>
        <w:tc>
          <w:tcPr>
            <w:tcW w:w="0" w:type="auto"/>
            <w:vAlign w:val="center"/>
          </w:tcPr>
          <w:p>
            <w:pPr>
              <w:pStyle w:val="93"/>
              <w:jc w:val="center"/>
              <w:rPr>
                <w:kern w:val="0"/>
                <w:sz w:val="20"/>
                <w:szCs w:val="21"/>
              </w:rPr>
            </w:pPr>
            <w:r>
              <w:rPr>
                <w:kern w:val="0"/>
                <w:sz w:val="20"/>
                <w:szCs w:val="21"/>
              </w:rPr>
              <w:t>30</w:t>
            </w:r>
          </w:p>
        </w:tc>
        <w:tc>
          <w:tcPr>
            <w:tcW w:w="0" w:type="auto"/>
            <w:vAlign w:val="center"/>
          </w:tcPr>
          <w:p>
            <w:pPr>
              <w:pStyle w:val="93"/>
              <w:jc w:val="center"/>
              <w:rPr>
                <w:kern w:val="0"/>
                <w:szCs w:val="21"/>
              </w:rPr>
            </w:pPr>
            <w:r>
              <w:rPr>
                <w:kern w:val="0"/>
                <w:szCs w:val="21"/>
              </w:rPr>
              <w:t>18</w:t>
            </w:r>
          </w:p>
        </w:tc>
        <w:tc>
          <w:tcPr>
            <w:tcW w:w="0" w:type="auto"/>
            <w:vAlign w:val="center"/>
          </w:tcPr>
          <w:p>
            <w:pPr>
              <w:pStyle w:val="93"/>
              <w:jc w:val="center"/>
              <w:rPr>
                <w:kern w:val="0"/>
                <w:szCs w:val="21"/>
              </w:rPr>
            </w:pPr>
            <w:r>
              <w:rPr>
                <w:kern w:val="0"/>
                <w:szCs w:val="21"/>
              </w:rPr>
              <w:t>18</w:t>
            </w:r>
          </w:p>
        </w:tc>
        <w:tc>
          <w:tcPr>
            <w:tcW w:w="0" w:type="auto"/>
            <w:vAlign w:val="center"/>
          </w:tcPr>
          <w:p>
            <w:pPr>
              <w:pStyle w:val="93"/>
              <w:jc w:val="center"/>
              <w:rPr>
                <w:kern w:val="0"/>
                <w:szCs w:val="21"/>
              </w:rPr>
            </w:pPr>
            <w:r>
              <w:rPr>
                <w:kern w:val="0"/>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 w:val="22"/>
                <w:szCs w:val="22"/>
              </w:rPr>
              <w:t>水质监测</w:t>
            </w:r>
          </w:p>
        </w:tc>
        <w:tc>
          <w:tcPr>
            <w:tcW w:w="0" w:type="auto"/>
            <w:vAlign w:val="center"/>
          </w:tcPr>
          <w:p>
            <w:pPr>
              <w:pStyle w:val="93"/>
              <w:jc w:val="center"/>
              <w:rPr>
                <w:kern w:val="0"/>
                <w:sz w:val="20"/>
                <w:szCs w:val="21"/>
              </w:rPr>
            </w:pPr>
            <w:r>
              <w:rPr>
                <w:kern w:val="0"/>
                <w:sz w:val="20"/>
                <w:szCs w:val="21"/>
              </w:rPr>
              <w:t>组</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28.00</w:t>
            </w:r>
          </w:p>
        </w:tc>
        <w:tc>
          <w:tcPr>
            <w:tcW w:w="0" w:type="auto"/>
            <w:vAlign w:val="center"/>
          </w:tcPr>
          <w:p>
            <w:pPr>
              <w:pStyle w:val="93"/>
              <w:jc w:val="center"/>
              <w:rPr>
                <w:kern w:val="0"/>
                <w:sz w:val="20"/>
                <w:szCs w:val="21"/>
              </w:rPr>
            </w:pPr>
            <w:r>
              <w:rPr>
                <w:kern w:val="0"/>
                <w:sz w:val="20"/>
                <w:szCs w:val="21"/>
              </w:rPr>
              <w:t>56</w:t>
            </w:r>
          </w:p>
        </w:tc>
        <w:tc>
          <w:tcPr>
            <w:tcW w:w="0" w:type="auto"/>
            <w:vAlign w:val="center"/>
          </w:tcPr>
          <w:p>
            <w:pPr>
              <w:pStyle w:val="93"/>
              <w:jc w:val="center"/>
              <w:rPr>
                <w:kern w:val="0"/>
                <w:szCs w:val="21"/>
              </w:rPr>
            </w:pPr>
            <w:r>
              <w:rPr>
                <w:kern w:val="0"/>
                <w:szCs w:val="21"/>
              </w:rPr>
              <w:t>28</w:t>
            </w:r>
          </w:p>
        </w:tc>
        <w:tc>
          <w:tcPr>
            <w:tcW w:w="0" w:type="auto"/>
            <w:vAlign w:val="center"/>
          </w:tcPr>
          <w:p>
            <w:pPr>
              <w:pStyle w:val="93"/>
              <w:jc w:val="center"/>
              <w:rPr>
                <w:kern w:val="0"/>
                <w:szCs w:val="21"/>
              </w:rPr>
            </w:pPr>
            <w:r>
              <w:rPr>
                <w:kern w:val="0"/>
                <w:szCs w:val="21"/>
              </w:rPr>
              <w:t>84</w:t>
            </w:r>
          </w:p>
        </w:tc>
        <w:tc>
          <w:tcPr>
            <w:tcW w:w="0" w:type="auto"/>
            <w:vAlign w:val="center"/>
          </w:tcPr>
          <w:p>
            <w:pPr>
              <w:pStyle w:val="93"/>
              <w:jc w:val="center"/>
              <w:rPr>
                <w:kern w:val="0"/>
                <w:szCs w:val="21"/>
              </w:rPr>
            </w:pPr>
            <w:r>
              <w:rPr>
                <w:kern w:val="0"/>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 w:val="22"/>
                <w:szCs w:val="22"/>
              </w:rPr>
              <w:t>植被监测</w:t>
            </w:r>
          </w:p>
        </w:tc>
        <w:tc>
          <w:tcPr>
            <w:tcW w:w="0" w:type="auto"/>
            <w:vAlign w:val="center"/>
          </w:tcPr>
          <w:p>
            <w:pPr>
              <w:pStyle w:val="93"/>
              <w:jc w:val="center"/>
              <w:rPr>
                <w:kern w:val="0"/>
                <w:sz w:val="20"/>
                <w:szCs w:val="21"/>
              </w:rPr>
            </w:pPr>
            <w:r>
              <w:rPr>
                <w:kern w:val="0"/>
                <w:sz w:val="20"/>
                <w:szCs w:val="21"/>
              </w:rPr>
              <w:t>次</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r>
              <w:rPr>
                <w:kern w:val="0"/>
                <w:sz w:val="20"/>
                <w:szCs w:val="21"/>
              </w:rPr>
              <w:t>56</w:t>
            </w:r>
          </w:p>
        </w:tc>
        <w:tc>
          <w:tcPr>
            <w:tcW w:w="0" w:type="auto"/>
            <w:vAlign w:val="center"/>
          </w:tcPr>
          <w:p>
            <w:pPr>
              <w:pStyle w:val="93"/>
              <w:jc w:val="center"/>
              <w:rPr>
                <w:kern w:val="0"/>
                <w:sz w:val="20"/>
                <w:szCs w:val="21"/>
              </w:rPr>
            </w:pPr>
            <w:r>
              <w:rPr>
                <w:kern w:val="0"/>
                <w:sz w:val="20"/>
                <w:szCs w:val="21"/>
              </w:rPr>
              <w:t>16</w:t>
            </w:r>
          </w:p>
        </w:tc>
        <w:tc>
          <w:tcPr>
            <w:tcW w:w="0" w:type="auto"/>
            <w:vAlign w:val="center"/>
          </w:tcPr>
          <w:p>
            <w:pPr>
              <w:pStyle w:val="93"/>
              <w:jc w:val="center"/>
              <w:rPr>
                <w:kern w:val="0"/>
                <w:sz w:val="20"/>
                <w:szCs w:val="21"/>
              </w:rPr>
            </w:pPr>
            <w:r>
              <w:rPr>
                <w:kern w:val="0"/>
                <w:sz w:val="20"/>
                <w:szCs w:val="21"/>
              </w:rPr>
              <w:t>16</w:t>
            </w:r>
          </w:p>
        </w:tc>
        <w:tc>
          <w:tcPr>
            <w:tcW w:w="0" w:type="auto"/>
            <w:vAlign w:val="center"/>
          </w:tcPr>
          <w:p>
            <w:pPr>
              <w:pStyle w:val="93"/>
              <w:jc w:val="center"/>
              <w:rPr>
                <w:kern w:val="0"/>
                <w:sz w:val="20"/>
                <w:szCs w:val="21"/>
              </w:rPr>
            </w:pPr>
            <w:r>
              <w:rPr>
                <w:kern w:val="0"/>
                <w:sz w:val="20"/>
                <w:szCs w:val="21"/>
              </w:rPr>
              <w:t>16</w:t>
            </w:r>
          </w:p>
        </w:tc>
        <w:tc>
          <w:tcPr>
            <w:tcW w:w="0" w:type="auto"/>
            <w:vAlign w:val="center"/>
          </w:tcPr>
          <w:p>
            <w:pPr>
              <w:pStyle w:val="93"/>
              <w:jc w:val="center"/>
              <w:rPr>
                <w:kern w:val="0"/>
                <w:sz w:val="20"/>
                <w:szCs w:val="21"/>
              </w:rPr>
            </w:pPr>
            <w:r>
              <w:rPr>
                <w:kern w:val="0"/>
                <w:sz w:val="20"/>
                <w:szCs w:val="21"/>
              </w:rPr>
              <w:t>16</w:t>
            </w:r>
          </w:p>
        </w:tc>
        <w:tc>
          <w:tcPr>
            <w:tcW w:w="0" w:type="auto"/>
            <w:vAlign w:val="center"/>
          </w:tcPr>
          <w:p>
            <w:pPr>
              <w:pStyle w:val="93"/>
              <w:jc w:val="center"/>
              <w:rPr>
                <w:kern w:val="0"/>
                <w:sz w:val="20"/>
                <w:szCs w:val="21"/>
              </w:rPr>
            </w:pPr>
            <w:r>
              <w:rPr>
                <w:kern w:val="0"/>
                <w:sz w:val="20"/>
                <w:szCs w:val="21"/>
              </w:rPr>
              <w:t>16</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restart"/>
            <w:vAlign w:val="center"/>
          </w:tcPr>
          <w:p>
            <w:pPr>
              <w:pStyle w:val="93"/>
              <w:jc w:val="center"/>
              <w:rPr>
                <w:b/>
                <w:bCs/>
                <w:kern w:val="0"/>
                <w:sz w:val="20"/>
                <w:szCs w:val="21"/>
              </w:rPr>
            </w:pPr>
            <w:r>
              <w:rPr>
                <w:b/>
                <w:bCs/>
                <w:kern w:val="0"/>
                <w:sz w:val="20"/>
                <w:szCs w:val="21"/>
              </w:rPr>
              <w:t>管护工程</w:t>
            </w:r>
          </w:p>
        </w:tc>
        <w:tc>
          <w:tcPr>
            <w:tcW w:w="0" w:type="auto"/>
            <w:vAlign w:val="center"/>
          </w:tcPr>
          <w:p>
            <w:pPr>
              <w:widowControl/>
              <w:jc w:val="center"/>
              <w:textAlignment w:val="center"/>
              <w:rPr>
                <w:b/>
                <w:bCs/>
                <w:kern w:val="0"/>
                <w:szCs w:val="21"/>
              </w:rPr>
            </w:pPr>
            <w:r>
              <w:rPr>
                <w:b/>
                <w:bCs/>
                <w:kern w:val="0"/>
                <w:szCs w:val="21"/>
              </w:rPr>
              <w:t>管护年限</w:t>
            </w:r>
          </w:p>
        </w:tc>
        <w:tc>
          <w:tcPr>
            <w:tcW w:w="0" w:type="auto"/>
            <w:vAlign w:val="center"/>
          </w:tcPr>
          <w:p>
            <w:pPr>
              <w:widowControl/>
              <w:jc w:val="center"/>
              <w:textAlignment w:val="center"/>
              <w:rPr>
                <w:szCs w:val="21"/>
              </w:rPr>
            </w:pPr>
            <w:r>
              <w:rPr>
                <w:kern w:val="0"/>
                <w:szCs w:val="21"/>
              </w:rPr>
              <w:t>年</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rFonts w:hint="eastAsia"/>
                <w:kern w:val="0"/>
                <w:szCs w:val="21"/>
              </w:rPr>
              <w:t>3</w:t>
            </w:r>
          </w:p>
        </w:tc>
        <w:tc>
          <w:tcPr>
            <w:tcW w:w="1151" w:type="dxa"/>
            <w:vAlign w:val="center"/>
          </w:tcPr>
          <w:p>
            <w:pPr>
              <w:pStyle w:val="93"/>
              <w:jc w:val="center"/>
              <w:rPr>
                <w:kern w:val="0"/>
                <w:szCs w:val="21"/>
              </w:rPr>
            </w:pPr>
            <w:r>
              <w:rPr>
                <w:rFonts w:hint="eastAsia"/>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b/>
                <w:bCs/>
                <w:kern w:val="0"/>
                <w:szCs w:val="21"/>
              </w:rPr>
            </w:pPr>
            <w:r>
              <w:rPr>
                <w:b/>
                <w:bCs/>
                <w:kern w:val="0"/>
                <w:szCs w:val="21"/>
              </w:rPr>
              <w:t>管护工程量</w:t>
            </w:r>
          </w:p>
        </w:tc>
        <w:tc>
          <w:tcPr>
            <w:tcW w:w="0" w:type="auto"/>
            <w:vAlign w:val="center"/>
          </w:tcPr>
          <w:p>
            <w:pPr>
              <w:widowControl/>
              <w:jc w:val="center"/>
              <w:textAlignment w:val="center"/>
              <w:rPr>
                <w:szCs w:val="21"/>
              </w:rPr>
            </w:pPr>
            <w:r>
              <w:rPr>
                <w:kern w:val="0"/>
                <w:szCs w:val="21"/>
              </w:rPr>
              <w:t>hm</w:t>
            </w:r>
            <w:r>
              <w:rPr>
                <w:kern w:val="0"/>
                <w:szCs w:val="21"/>
                <w:vertAlign w:val="superscript"/>
              </w:rPr>
              <w:t>2</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0.33</w:t>
            </w:r>
          </w:p>
        </w:tc>
        <w:tc>
          <w:tcPr>
            <w:tcW w:w="1151" w:type="dxa"/>
            <w:vAlign w:val="center"/>
          </w:tcPr>
          <w:p>
            <w:pPr>
              <w:pStyle w:val="93"/>
              <w:jc w:val="center"/>
              <w:rPr>
                <w:kern w:val="0"/>
                <w:szCs w:val="21"/>
              </w:rPr>
            </w:pPr>
            <w:r>
              <w:rPr>
                <w:kern w:val="0"/>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restart"/>
            <w:vAlign w:val="center"/>
          </w:tcPr>
          <w:p>
            <w:pPr>
              <w:pStyle w:val="93"/>
              <w:rPr>
                <w:b/>
                <w:bCs/>
                <w:kern w:val="0"/>
                <w:sz w:val="20"/>
                <w:szCs w:val="21"/>
              </w:rPr>
            </w:pPr>
          </w:p>
        </w:tc>
        <w:tc>
          <w:tcPr>
            <w:tcW w:w="0" w:type="auto"/>
            <w:vAlign w:val="center"/>
          </w:tcPr>
          <w:p>
            <w:pPr>
              <w:widowControl/>
              <w:jc w:val="center"/>
              <w:textAlignment w:val="center"/>
              <w:rPr>
                <w:kern w:val="0"/>
                <w:szCs w:val="21"/>
              </w:rPr>
            </w:pPr>
            <w:r>
              <w:rPr>
                <w:kern w:val="0"/>
                <w:sz w:val="22"/>
                <w:szCs w:val="22"/>
              </w:rPr>
              <w:t>矿部和工业广场建筑拆除</w:t>
            </w:r>
          </w:p>
        </w:tc>
        <w:tc>
          <w:tcPr>
            <w:tcW w:w="0" w:type="auto"/>
            <w:vAlign w:val="center"/>
          </w:tcPr>
          <w:p>
            <w:pPr>
              <w:pStyle w:val="93"/>
              <w:jc w:val="center"/>
              <w:rPr>
                <w:kern w:val="0"/>
                <w:sz w:val="20"/>
                <w:szCs w:val="21"/>
              </w:rPr>
            </w:pPr>
            <w:r>
              <w:rPr>
                <w:kern w:val="0"/>
                <w:sz w:val="20"/>
                <w:szCs w:val="21"/>
              </w:rPr>
              <w:t>M³</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 w:val="22"/>
                <w:szCs w:val="22"/>
              </w:rPr>
              <w:t xml:space="preserve">1485.30 </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 w:val="22"/>
                <w:szCs w:val="22"/>
              </w:rPr>
              <w:t xml:space="preserve">1485.30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Merge w:val="continue"/>
            <w:vAlign w:val="center"/>
          </w:tcPr>
          <w:p>
            <w:pPr>
              <w:pStyle w:val="93"/>
              <w:jc w:val="center"/>
              <w:rPr>
                <w:b/>
                <w:bCs/>
                <w:kern w:val="0"/>
                <w:sz w:val="20"/>
                <w:szCs w:val="21"/>
              </w:rPr>
            </w:pPr>
          </w:p>
        </w:tc>
        <w:tc>
          <w:tcPr>
            <w:tcW w:w="0" w:type="auto"/>
            <w:vAlign w:val="center"/>
          </w:tcPr>
          <w:p>
            <w:pPr>
              <w:widowControl/>
              <w:jc w:val="center"/>
              <w:textAlignment w:val="center"/>
              <w:rPr>
                <w:kern w:val="0"/>
                <w:szCs w:val="21"/>
              </w:rPr>
            </w:pPr>
            <w:r>
              <w:rPr>
                <w:kern w:val="0"/>
                <w:sz w:val="22"/>
                <w:szCs w:val="22"/>
              </w:rPr>
              <w:t>矿部和工业广场渣土清运</w:t>
            </w:r>
          </w:p>
        </w:tc>
        <w:tc>
          <w:tcPr>
            <w:tcW w:w="0" w:type="auto"/>
            <w:vAlign w:val="center"/>
          </w:tcPr>
          <w:p>
            <w:pPr>
              <w:pStyle w:val="93"/>
              <w:jc w:val="center"/>
              <w:rPr>
                <w:kern w:val="0"/>
                <w:sz w:val="20"/>
                <w:szCs w:val="21"/>
              </w:rPr>
            </w:pPr>
            <w:r>
              <w:rPr>
                <w:kern w:val="0"/>
                <w:sz w:val="20"/>
                <w:szCs w:val="21"/>
              </w:rPr>
              <w:t>M³</w:t>
            </w: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rPr>
                <w:kern w:val="0"/>
                <w:sz w:val="20"/>
                <w:szCs w:val="21"/>
              </w:rPr>
            </w:pPr>
          </w:p>
        </w:tc>
        <w:tc>
          <w:tcPr>
            <w:tcW w:w="0" w:type="auto"/>
            <w:vAlign w:val="center"/>
          </w:tcPr>
          <w:p>
            <w:pPr>
              <w:pStyle w:val="93"/>
              <w:jc w:val="center"/>
              <w:rPr>
                <w:kern w:val="0"/>
                <w:sz w:val="20"/>
                <w:szCs w:val="21"/>
              </w:rPr>
            </w:pPr>
          </w:p>
        </w:tc>
        <w:tc>
          <w:tcPr>
            <w:tcW w:w="0" w:type="auto"/>
            <w:vAlign w:val="center"/>
          </w:tcPr>
          <w:p>
            <w:pPr>
              <w:pStyle w:val="93"/>
              <w:jc w:val="center"/>
              <w:rPr>
                <w:kern w:val="0"/>
                <w:sz w:val="20"/>
                <w:szCs w:val="21"/>
              </w:rPr>
            </w:pPr>
          </w:p>
        </w:tc>
        <w:tc>
          <w:tcPr>
            <w:tcW w:w="0" w:type="auto"/>
            <w:vAlign w:val="center"/>
          </w:tcPr>
          <w:p>
            <w:pPr>
              <w:widowControl/>
              <w:jc w:val="center"/>
              <w:textAlignment w:val="center"/>
              <w:rPr>
                <w:kern w:val="0"/>
                <w:szCs w:val="21"/>
              </w:rPr>
            </w:pPr>
            <w:r>
              <w:rPr>
                <w:kern w:val="0"/>
                <w:sz w:val="22"/>
                <w:szCs w:val="22"/>
              </w:rPr>
              <w:t xml:space="preserve">1485.30 </w:t>
            </w: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1485..30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0" w:type="auto"/>
            <w:vAlign w:val="center"/>
          </w:tcPr>
          <w:p>
            <w:pPr>
              <w:pStyle w:val="93"/>
              <w:jc w:val="center"/>
              <w:rPr>
                <w:b/>
                <w:bCs/>
                <w:kern w:val="0"/>
                <w:sz w:val="20"/>
                <w:szCs w:val="21"/>
              </w:rPr>
            </w:pPr>
          </w:p>
        </w:tc>
        <w:tc>
          <w:tcPr>
            <w:tcW w:w="0" w:type="auto"/>
            <w:vAlign w:val="center"/>
          </w:tcPr>
          <w:p>
            <w:pPr>
              <w:widowControl/>
              <w:jc w:val="center"/>
              <w:textAlignment w:val="center"/>
              <w:rPr>
                <w:kern w:val="0"/>
                <w:sz w:val="22"/>
                <w:szCs w:val="22"/>
              </w:rPr>
            </w:pPr>
            <w:r>
              <w:rPr>
                <w:kern w:val="0"/>
                <w:sz w:val="22"/>
                <w:szCs w:val="22"/>
              </w:rPr>
              <w:t>沉淀池清淤</w:t>
            </w:r>
          </w:p>
        </w:tc>
        <w:tc>
          <w:tcPr>
            <w:tcW w:w="0" w:type="auto"/>
            <w:vAlign w:val="center"/>
          </w:tcPr>
          <w:p>
            <w:pPr>
              <w:pStyle w:val="93"/>
              <w:jc w:val="center"/>
              <w:rPr>
                <w:kern w:val="0"/>
                <w:sz w:val="20"/>
                <w:szCs w:val="21"/>
              </w:rPr>
            </w:pPr>
            <w:r>
              <w:rPr>
                <w:kern w:val="0"/>
                <w:sz w:val="20"/>
                <w:szCs w:val="21"/>
              </w:rPr>
              <w:t>M³</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r>
              <w:rPr>
                <w:kern w:val="0"/>
                <w:sz w:val="20"/>
                <w:szCs w:val="21"/>
              </w:rPr>
              <w:t>103.39</w:t>
            </w:r>
          </w:p>
        </w:tc>
        <w:tc>
          <w:tcPr>
            <w:tcW w:w="0" w:type="auto"/>
            <w:vAlign w:val="center"/>
          </w:tcPr>
          <w:p>
            <w:pPr>
              <w:pStyle w:val="93"/>
              <w:jc w:val="center"/>
              <w:rPr>
                <w:kern w:val="0"/>
                <w:sz w:val="2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p>
        </w:tc>
        <w:tc>
          <w:tcPr>
            <w:tcW w:w="0" w:type="auto"/>
            <w:vAlign w:val="center"/>
          </w:tcPr>
          <w:p>
            <w:pPr>
              <w:pStyle w:val="93"/>
              <w:jc w:val="center"/>
              <w:rPr>
                <w:kern w:val="0"/>
                <w:szCs w:val="21"/>
              </w:rPr>
            </w:pPr>
            <w:r>
              <w:rPr>
                <w:kern w:val="0"/>
                <w:szCs w:val="21"/>
              </w:rPr>
              <w:t>796.07</w:t>
            </w:r>
          </w:p>
        </w:tc>
      </w:tr>
    </w:tbl>
    <w:p>
      <w:pPr>
        <w:pStyle w:val="2"/>
        <w:jc w:val="center"/>
        <w:sectPr>
          <w:pgSz w:w="23811" w:h="33675"/>
          <w:pgMar w:top="1418" w:right="1247" w:bottom="1418" w:left="1247" w:header="720" w:footer="720" w:gutter="0"/>
          <w:cols w:space="720" w:num="1"/>
          <w:docGrid w:linePitch="286" w:charSpace="0"/>
        </w:sectPr>
      </w:pPr>
      <w:r>
        <w:rPr>
          <w:sz w:val="24"/>
        </w:rPr>
        <w:t>表4-</w:t>
      </w:r>
      <w:r>
        <w:rPr>
          <w:rFonts w:hint="eastAsia"/>
          <w:sz w:val="24"/>
        </w:rPr>
        <w:t>19</w:t>
      </w:r>
      <w:r>
        <w:rPr>
          <w:sz w:val="24"/>
        </w:rPr>
        <w:t xml:space="preserve">  矿山生态保护修复工程</w:t>
      </w:r>
      <w:r>
        <w:rPr>
          <w:rFonts w:hint="eastAsia"/>
          <w:sz w:val="24"/>
        </w:rPr>
        <w:t>年度计划</w:t>
      </w:r>
      <w:r>
        <w:rPr>
          <w:sz w:val="24"/>
        </w:rPr>
        <w:t>表</w:t>
      </w:r>
    </w:p>
    <w:p>
      <w:pPr>
        <w:pStyle w:val="3"/>
        <w:spacing w:before="0" w:after="0" w:line="360" w:lineRule="auto"/>
        <w:jc w:val="center"/>
        <w:rPr>
          <w:b w:val="0"/>
          <w:bCs w:val="0"/>
          <w:sz w:val="30"/>
          <w:szCs w:val="30"/>
        </w:rPr>
      </w:pPr>
      <w:bookmarkStart w:id="77" w:name="_Toc130937641"/>
      <w:r>
        <w:rPr>
          <w:b w:val="0"/>
          <w:bCs w:val="0"/>
          <w:sz w:val="30"/>
          <w:szCs w:val="30"/>
        </w:rPr>
        <w:t>第五章  经费估算</w:t>
      </w:r>
      <w:bookmarkEnd w:id="73"/>
      <w:bookmarkEnd w:id="74"/>
      <w:r>
        <w:rPr>
          <w:b w:val="0"/>
          <w:bCs w:val="0"/>
          <w:sz w:val="30"/>
          <w:szCs w:val="30"/>
        </w:rPr>
        <w:t>与基金管理</w:t>
      </w:r>
      <w:bookmarkEnd w:id="77"/>
    </w:p>
    <w:p>
      <w:pPr>
        <w:pStyle w:val="4"/>
        <w:spacing w:before="120" w:after="120" w:line="400" w:lineRule="exact"/>
        <w:jc w:val="left"/>
        <w:rPr>
          <w:rFonts w:ascii="Times New Roman" w:hAnsi="Times New Roman" w:eastAsia="宋体"/>
          <w:b w:val="0"/>
          <w:bCs w:val="0"/>
          <w:sz w:val="28"/>
        </w:rPr>
      </w:pPr>
      <w:bookmarkStart w:id="78" w:name="_Toc518918341"/>
      <w:bookmarkStart w:id="79" w:name="_Toc529990556"/>
      <w:bookmarkStart w:id="80" w:name="_Toc130937642"/>
      <w:bookmarkStart w:id="81" w:name="_Toc30498"/>
      <w:bookmarkStart w:id="82" w:name="_Toc30275"/>
      <w:r>
        <w:rPr>
          <w:rFonts w:ascii="Times New Roman" w:hAnsi="Times New Roman" w:eastAsia="宋体"/>
          <w:b w:val="0"/>
          <w:bCs w:val="0"/>
          <w:sz w:val="28"/>
        </w:rPr>
        <w:t>一、经费估算</w:t>
      </w:r>
      <w:bookmarkEnd w:id="78"/>
      <w:bookmarkEnd w:id="79"/>
      <w:bookmarkEnd w:id="80"/>
      <w:bookmarkEnd w:id="81"/>
      <w:bookmarkEnd w:id="82"/>
    </w:p>
    <w:p>
      <w:pPr>
        <w:pStyle w:val="5"/>
        <w:spacing w:before="0" w:after="0" w:line="360" w:lineRule="auto"/>
        <w:jc w:val="left"/>
        <w:rPr>
          <w:b w:val="0"/>
          <w:bCs w:val="0"/>
          <w:sz w:val="24"/>
          <w:szCs w:val="24"/>
        </w:rPr>
      </w:pPr>
      <w:r>
        <w:rPr>
          <w:b w:val="0"/>
          <w:bCs w:val="0"/>
          <w:sz w:val="24"/>
          <w:szCs w:val="24"/>
        </w:rPr>
        <w:t>（一）估算原则</w:t>
      </w:r>
    </w:p>
    <w:p>
      <w:pPr>
        <w:spacing w:line="440" w:lineRule="exact"/>
        <w:ind w:firstLine="480" w:firstLineChars="200"/>
        <w:rPr>
          <w:sz w:val="24"/>
        </w:rPr>
      </w:pPr>
      <w:r>
        <w:rPr>
          <w:sz w:val="24"/>
        </w:rPr>
        <w:t>1、符合国家有关法律、法规规定；</w:t>
      </w:r>
    </w:p>
    <w:p>
      <w:pPr>
        <w:spacing w:line="440" w:lineRule="exact"/>
        <w:ind w:firstLine="480" w:firstLineChars="200"/>
        <w:rPr>
          <w:sz w:val="24"/>
        </w:rPr>
      </w:pPr>
      <w:r>
        <w:rPr>
          <w:sz w:val="24"/>
        </w:rPr>
        <w:t>2、治理恢复及土地复垦投资应进入工程估算中；</w:t>
      </w:r>
    </w:p>
    <w:p>
      <w:pPr>
        <w:spacing w:line="440" w:lineRule="exact"/>
        <w:ind w:firstLine="480" w:firstLineChars="200"/>
        <w:rPr>
          <w:sz w:val="24"/>
        </w:rPr>
      </w:pPr>
      <w:r>
        <w:rPr>
          <w:sz w:val="24"/>
        </w:rPr>
        <w:t>3、工程建设与治理恢复及复垦措施同步设计、同步建设投资；</w:t>
      </w:r>
    </w:p>
    <w:p>
      <w:pPr>
        <w:spacing w:line="440" w:lineRule="exact"/>
        <w:ind w:firstLine="480" w:firstLineChars="200"/>
        <w:rPr>
          <w:sz w:val="24"/>
        </w:rPr>
      </w:pPr>
      <w:r>
        <w:rPr>
          <w:sz w:val="24"/>
        </w:rPr>
        <w:t>4、科学、合理、高效的原则。</w:t>
      </w:r>
    </w:p>
    <w:p>
      <w:pPr>
        <w:pStyle w:val="5"/>
        <w:spacing w:before="0" w:after="0" w:line="360" w:lineRule="auto"/>
        <w:jc w:val="left"/>
        <w:rPr>
          <w:b w:val="0"/>
          <w:bCs w:val="0"/>
          <w:sz w:val="24"/>
          <w:szCs w:val="24"/>
        </w:rPr>
      </w:pPr>
      <w:r>
        <w:rPr>
          <w:b w:val="0"/>
          <w:bCs w:val="0"/>
          <w:sz w:val="24"/>
          <w:szCs w:val="24"/>
        </w:rPr>
        <w:t>（二）估算依据</w:t>
      </w:r>
    </w:p>
    <w:p>
      <w:pPr>
        <w:spacing w:line="360" w:lineRule="auto"/>
        <w:ind w:firstLine="480" w:firstLineChars="200"/>
        <w:jc w:val="left"/>
        <w:rPr>
          <w:sz w:val="24"/>
        </w:rPr>
      </w:pPr>
      <w:r>
        <w:rPr>
          <w:sz w:val="24"/>
        </w:rPr>
        <w:t>1、国家及有关部门的政策性文件</w:t>
      </w:r>
    </w:p>
    <w:p>
      <w:pPr>
        <w:spacing w:line="420" w:lineRule="exact"/>
        <w:ind w:firstLine="480"/>
        <w:rPr>
          <w:sz w:val="24"/>
        </w:rPr>
      </w:pPr>
      <w:bookmarkStart w:id="83" w:name="_Toc70552029"/>
      <w:r>
        <w:rPr>
          <w:sz w:val="24"/>
        </w:rPr>
        <w:t>（1）《财政部、国土资源部文件《财政部、国土资源部关于印发土地开发整理项目预算定额标准的通知》【财综〔2011〕128号】；</w:t>
      </w:r>
    </w:p>
    <w:p>
      <w:pPr>
        <w:spacing w:line="420" w:lineRule="exact"/>
        <w:ind w:firstLine="480"/>
        <w:rPr>
          <w:sz w:val="24"/>
        </w:rPr>
      </w:pPr>
      <w:r>
        <w:rPr>
          <w:sz w:val="24"/>
        </w:rPr>
        <w:t>（2）《财政部、国土资源部《关于印发〈新增建设用地土地有偿使用费资金管理办法〉的通知》【财建〔2017〕423号】；</w:t>
      </w:r>
    </w:p>
    <w:p>
      <w:pPr>
        <w:spacing w:line="420" w:lineRule="exact"/>
        <w:ind w:firstLine="480"/>
        <w:rPr>
          <w:sz w:val="24"/>
        </w:rPr>
      </w:pPr>
      <w:r>
        <w:rPr>
          <w:sz w:val="24"/>
        </w:rPr>
        <w:t>（3）《湖南省财政厅、湖南省国土资源厅关于印发《湖南省土地开发整理项目预算补充定额标准（试行）》的通知》【湘财建〔2014〕22号】；</w:t>
      </w:r>
    </w:p>
    <w:p>
      <w:pPr>
        <w:spacing w:line="420" w:lineRule="exact"/>
        <w:ind w:firstLine="480"/>
        <w:rPr>
          <w:sz w:val="24"/>
        </w:rPr>
      </w:pPr>
      <w:r>
        <w:rPr>
          <w:sz w:val="24"/>
        </w:rPr>
        <w:t>（4）《湖南省国土资源厅办公室文件关于发布《湖南省农村土地整治项目建设标准》的通知《【湘国土资办发〔2014〕14号】；</w:t>
      </w:r>
    </w:p>
    <w:p>
      <w:pPr>
        <w:spacing w:line="420" w:lineRule="exact"/>
        <w:ind w:firstLine="480"/>
        <w:rPr>
          <w:sz w:val="24"/>
        </w:rPr>
      </w:pPr>
      <w:r>
        <w:rPr>
          <w:sz w:val="24"/>
        </w:rPr>
        <w:t>（5）《湖南省国土资源厅办公室关于增值税条件下调整土地整治项目预算计价依据的通知》【湘国土资办〔2017〕24号】；</w:t>
      </w:r>
    </w:p>
    <w:p>
      <w:pPr>
        <w:spacing w:line="420" w:lineRule="exact"/>
        <w:ind w:firstLine="480"/>
        <w:rPr>
          <w:spacing w:val="-4"/>
          <w:sz w:val="24"/>
        </w:rPr>
      </w:pPr>
      <w:r>
        <w:rPr>
          <w:spacing w:val="-4"/>
          <w:sz w:val="24"/>
        </w:rPr>
        <w:t>（6）</w:t>
      </w:r>
      <w:r>
        <w:rPr>
          <w:sz w:val="24"/>
        </w:rPr>
        <w:t>《湖南省矿山生态修复基金管理办法》【湘自资规〔2022〕3号】</w:t>
      </w:r>
      <w:r>
        <w:rPr>
          <w:spacing w:val="-4"/>
          <w:sz w:val="24"/>
        </w:rPr>
        <w:t>；</w:t>
      </w:r>
    </w:p>
    <w:p>
      <w:pPr>
        <w:spacing w:line="360" w:lineRule="auto"/>
        <w:ind w:firstLine="480" w:firstLineChars="200"/>
        <w:rPr>
          <w:sz w:val="24"/>
        </w:rPr>
      </w:pPr>
      <w:r>
        <w:rPr>
          <w:sz w:val="24"/>
        </w:rPr>
        <w:t xml:space="preserve">2、行业技术标准  </w:t>
      </w:r>
    </w:p>
    <w:p>
      <w:pPr>
        <w:spacing w:line="420" w:lineRule="exact"/>
        <w:ind w:firstLine="480"/>
        <w:rPr>
          <w:sz w:val="24"/>
        </w:rPr>
      </w:pPr>
      <w:r>
        <w:rPr>
          <w:sz w:val="24"/>
        </w:rPr>
        <w:t>（1）《土地整治项目规划设计规范》【TD/T1012-2016】；</w:t>
      </w:r>
    </w:p>
    <w:p>
      <w:pPr>
        <w:spacing w:line="420" w:lineRule="exact"/>
        <w:ind w:firstLine="480"/>
        <w:rPr>
          <w:sz w:val="24"/>
        </w:rPr>
      </w:pPr>
      <w:r>
        <w:rPr>
          <w:sz w:val="24"/>
        </w:rPr>
        <w:t>（2）《湖南省土地开发整理项目工程建设标准（试行）》；</w:t>
      </w:r>
    </w:p>
    <w:p>
      <w:pPr>
        <w:spacing w:line="420" w:lineRule="exact"/>
        <w:ind w:firstLine="480"/>
        <w:rPr>
          <w:sz w:val="24"/>
        </w:rPr>
      </w:pPr>
      <w:r>
        <w:rPr>
          <w:sz w:val="24"/>
        </w:rPr>
        <w:t>（3）《湖南省土地开发整理项目预算补充定额标准（试行）》（2014年）；</w:t>
      </w:r>
    </w:p>
    <w:p>
      <w:pPr>
        <w:spacing w:line="420" w:lineRule="exact"/>
        <w:ind w:firstLine="480"/>
        <w:rPr>
          <w:sz w:val="24"/>
        </w:rPr>
      </w:pPr>
      <w:r>
        <w:rPr>
          <w:sz w:val="24"/>
        </w:rPr>
        <w:t>（4）《湖南省地方标准高标准农田建设》【DB43/T876.1-2014】；</w:t>
      </w:r>
    </w:p>
    <w:p>
      <w:pPr>
        <w:spacing w:line="420" w:lineRule="exact"/>
        <w:ind w:firstLine="480"/>
        <w:rPr>
          <w:sz w:val="24"/>
        </w:rPr>
      </w:pPr>
      <w:r>
        <w:rPr>
          <w:sz w:val="24"/>
        </w:rPr>
        <w:t>（5）《土地整治工程建设标准编写规程》【TD/T1045-2016】；</w:t>
      </w:r>
    </w:p>
    <w:p>
      <w:pPr>
        <w:spacing w:line="420" w:lineRule="exact"/>
        <w:ind w:firstLine="480"/>
        <w:rPr>
          <w:sz w:val="24"/>
        </w:rPr>
      </w:pPr>
      <w:r>
        <w:rPr>
          <w:sz w:val="24"/>
        </w:rPr>
        <w:t>（6）《土地整治权属调整规范》【TD/T1046-2016】；</w:t>
      </w:r>
    </w:p>
    <w:p>
      <w:pPr>
        <w:spacing w:line="420" w:lineRule="exact"/>
        <w:ind w:firstLine="480"/>
        <w:rPr>
          <w:sz w:val="24"/>
        </w:rPr>
      </w:pPr>
      <w:r>
        <w:rPr>
          <w:sz w:val="24"/>
        </w:rPr>
        <w:t>（7）《湖南省土地开发整理项目施工机械台班费补充定额(试行)》；</w:t>
      </w:r>
    </w:p>
    <w:p>
      <w:pPr>
        <w:spacing w:line="420" w:lineRule="exact"/>
        <w:ind w:firstLine="480"/>
        <w:rPr>
          <w:sz w:val="24"/>
        </w:rPr>
      </w:pPr>
      <w:r>
        <w:rPr>
          <w:sz w:val="24"/>
        </w:rPr>
        <w:t xml:space="preserve">（8）《益阳市建设工程造价》（2022年第6期）。 </w:t>
      </w:r>
    </w:p>
    <w:p>
      <w:pPr>
        <w:pStyle w:val="5"/>
        <w:spacing w:before="0" w:after="0" w:line="360" w:lineRule="auto"/>
        <w:jc w:val="left"/>
        <w:rPr>
          <w:b w:val="0"/>
          <w:bCs w:val="0"/>
          <w:sz w:val="24"/>
          <w:szCs w:val="24"/>
        </w:rPr>
      </w:pPr>
      <w:r>
        <w:rPr>
          <w:b w:val="0"/>
          <w:bCs w:val="0"/>
          <w:sz w:val="24"/>
          <w:szCs w:val="24"/>
        </w:rPr>
        <w:t>（三）基础预算单价计算依据</w:t>
      </w:r>
    </w:p>
    <w:p>
      <w:pPr>
        <w:spacing w:line="360" w:lineRule="auto"/>
        <w:ind w:firstLine="480" w:firstLineChars="200"/>
        <w:rPr>
          <w:sz w:val="24"/>
        </w:rPr>
      </w:pPr>
      <w:r>
        <w:rPr>
          <w:sz w:val="24"/>
        </w:rPr>
        <w:t>1、定额标准</w:t>
      </w:r>
    </w:p>
    <w:p>
      <w:pPr>
        <w:spacing w:line="440" w:lineRule="exact"/>
        <w:ind w:firstLine="480"/>
        <w:rPr>
          <w:sz w:val="24"/>
        </w:rPr>
      </w:pPr>
      <w:r>
        <w:rPr>
          <w:sz w:val="24"/>
        </w:rPr>
        <w:t>湖南省财政厅、湖南省国土资源厅关于印发《湖南省土地开发整理项目预算补充定额标准（试行）》的通知【湘财建[2014]22号】。</w:t>
      </w:r>
    </w:p>
    <w:p>
      <w:pPr>
        <w:spacing w:line="360" w:lineRule="auto"/>
        <w:ind w:firstLine="480" w:firstLineChars="200"/>
        <w:rPr>
          <w:sz w:val="24"/>
        </w:rPr>
      </w:pPr>
      <w:r>
        <w:rPr>
          <w:sz w:val="24"/>
        </w:rPr>
        <w:t>2、人工单价</w:t>
      </w:r>
    </w:p>
    <w:p>
      <w:pPr>
        <w:spacing w:line="420" w:lineRule="exact"/>
        <w:ind w:firstLine="480"/>
        <w:rPr>
          <w:sz w:val="24"/>
        </w:rPr>
      </w:pPr>
      <w:r>
        <w:rPr>
          <w:sz w:val="24"/>
        </w:rPr>
        <w:t>本项目按《湖南省水利水电工程设计概估算编制规定》（2015 年）的人工预算单价标准进行调整，甲类工按水利工程的高级工标准为</w:t>
      </w:r>
      <w:r>
        <w:rPr>
          <w:rFonts w:hint="eastAsia"/>
          <w:sz w:val="24"/>
        </w:rPr>
        <w:t>***</w:t>
      </w:r>
      <w:r>
        <w:rPr>
          <w:sz w:val="24"/>
        </w:rPr>
        <w:t xml:space="preserve"> 元/日，乙类工按水利工程的高中级工标准为</w:t>
      </w:r>
      <w:r>
        <w:rPr>
          <w:rFonts w:hint="eastAsia"/>
          <w:sz w:val="24"/>
        </w:rPr>
        <w:t>***</w:t>
      </w:r>
      <w:r>
        <w:rPr>
          <w:sz w:val="24"/>
        </w:rPr>
        <w:t>元/日。</w:t>
      </w:r>
    </w:p>
    <w:p>
      <w:pPr>
        <w:spacing w:line="360" w:lineRule="auto"/>
        <w:ind w:firstLine="480" w:firstLineChars="200"/>
        <w:rPr>
          <w:sz w:val="24"/>
        </w:rPr>
      </w:pPr>
      <w:r>
        <w:rPr>
          <w:sz w:val="24"/>
        </w:rPr>
        <w:t>3、主要材料预算价格</w:t>
      </w:r>
    </w:p>
    <w:p>
      <w:pPr>
        <w:spacing w:line="360" w:lineRule="auto"/>
        <w:ind w:firstLine="480" w:firstLineChars="200"/>
        <w:rPr>
          <w:sz w:val="24"/>
        </w:rPr>
      </w:pPr>
      <w:r>
        <w:rPr>
          <w:sz w:val="24"/>
        </w:rPr>
        <w:t>（1）预算工程施工费用按同类型工程造价指标。钢材、水泥、木材、砂石料等主材料的预算价格均以当地工程造价管理站提供的最新造价文件为准（见表5-5）；根据湖南省国土资源厅办公室关于增值税条件下调整土地整治项目预算计价依据的通知【湘财建[2017]24号】扣除税率。设备安装工程按有关定额指标计算；其它费用按有关规定计算。</w:t>
      </w:r>
    </w:p>
    <w:p>
      <w:pPr>
        <w:spacing w:line="360" w:lineRule="auto"/>
        <w:ind w:firstLine="480"/>
        <w:rPr>
          <w:sz w:val="24"/>
        </w:rPr>
      </w:pPr>
      <w:r>
        <w:rPr>
          <w:sz w:val="24"/>
        </w:rPr>
        <w:t>（2）对砂石料、水泥及钢筋等十一类主要材料进行限价</w:t>
      </w:r>
      <w:r>
        <w:rPr>
          <w:rFonts w:hint="eastAsia"/>
          <w:sz w:val="24"/>
        </w:rPr>
        <w:t>（表5-1）</w:t>
      </w:r>
      <w:r>
        <w:rPr>
          <w:sz w:val="24"/>
        </w:rPr>
        <w:t>，上述材料除块石在距离矿区10km 购买。当上述材料预算价格等于或小于“主材规定价格表”中所列的规定价格时，直接计入工程</w:t>
      </w:r>
      <w:r>
        <w:rPr>
          <w:sz w:val="24"/>
        </w:rPr>
        <w:tab/>
      </w:r>
      <w:r>
        <w:rPr>
          <w:sz w:val="24"/>
        </w:rPr>
        <w:t>施工费单价；当材料预算价格大于“主材规定价格表”中所列的规定价格时，超出限价部分单独计算材料价差（只计取材料费和税金），不参与取费。</w:t>
      </w: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表5-</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 xml:space="preserve">       主材规定价格表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600"/>
        <w:gridCol w:w="1440"/>
        <w:gridCol w:w="1080"/>
        <w:gridCol w:w="1055"/>
        <w:gridCol w:w="1125"/>
        <w:gridCol w:w="1300"/>
        <w:gridCol w:w="133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9"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序号</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材料名称</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单位</w:t>
            </w:r>
          </w:p>
        </w:tc>
        <w:tc>
          <w:tcPr>
            <w:tcW w:w="1055" w:type="dxa"/>
            <w:tcBorders>
              <w:tl2br w:val="nil"/>
              <w:tr2bl w:val="nil"/>
            </w:tcBorders>
            <w:vAlign w:val="center"/>
          </w:tcPr>
          <w:p>
            <w:pPr>
              <w:pStyle w:val="23"/>
              <w:ind w:left="420" w:hanging="420"/>
              <w:jc w:val="center"/>
              <w:rPr>
                <w:rFonts w:ascii="Times New Roman" w:hAnsi="Times New Roman"/>
                <w:szCs w:val="21"/>
                <w:lang w:eastAsia="zh-CN"/>
              </w:rPr>
            </w:pPr>
            <w:r>
              <w:rPr>
                <w:rFonts w:ascii="Times New Roman" w:hAnsi="Times New Roman"/>
                <w:szCs w:val="21"/>
              </w:rPr>
              <w:t>限价</w:t>
            </w:r>
            <w:r>
              <w:rPr>
                <w:rFonts w:ascii="Times New Roman" w:hAnsi="Times New Roman"/>
                <w:szCs w:val="21"/>
                <w:lang w:eastAsia="zh-CN"/>
              </w:rPr>
              <w:t>(</w:t>
            </w:r>
            <w:r>
              <w:rPr>
                <w:rFonts w:ascii="Times New Roman" w:hAnsi="Times New Roman"/>
                <w:szCs w:val="21"/>
              </w:rPr>
              <w:t>元</w:t>
            </w:r>
            <w:r>
              <w:rPr>
                <w:rFonts w:ascii="Times New Roman" w:hAnsi="Times New Roman"/>
                <w:szCs w:val="21"/>
                <w:lang w:eastAsia="zh-CN"/>
              </w:rPr>
              <w:t>)</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序号</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材料名称</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单位</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限价</w:t>
            </w:r>
            <w:r>
              <w:rPr>
                <w:rFonts w:ascii="Times New Roman" w:hAnsi="Times New Roman"/>
                <w:szCs w:val="21"/>
                <w:lang w:eastAsia="zh-CN"/>
              </w:rPr>
              <w:t>(</w:t>
            </w:r>
            <w:r>
              <w:rPr>
                <w:rFonts w:ascii="Times New Roman" w:hAnsi="Times New Roman"/>
                <w:szCs w:val="21"/>
              </w:rPr>
              <w:t>元</w:t>
            </w:r>
            <w:r>
              <w:rPr>
                <w:rFonts w:ascii="Times New Roman" w:hAnsi="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1</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块石、片石</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40</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7</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柴油</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t</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83"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2</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砂子、石子</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60</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8</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汽油</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t</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3</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条石、料石</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70</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9</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锯材</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4</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水泥</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t</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300</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10</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生石灰</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t</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5</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标砖</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千块</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240</w:t>
            </w:r>
          </w:p>
        </w:tc>
        <w:tc>
          <w:tcPr>
            <w:tcW w:w="112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11</w:t>
            </w:r>
          </w:p>
        </w:tc>
        <w:tc>
          <w:tcPr>
            <w:tcW w:w="13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树苗</w:t>
            </w:r>
          </w:p>
        </w:tc>
        <w:tc>
          <w:tcPr>
            <w:tcW w:w="13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株</w:t>
            </w:r>
          </w:p>
        </w:tc>
        <w:tc>
          <w:tcPr>
            <w:tcW w:w="103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60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6</w:t>
            </w:r>
          </w:p>
        </w:tc>
        <w:tc>
          <w:tcPr>
            <w:tcW w:w="144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钢筋</w:t>
            </w:r>
          </w:p>
        </w:tc>
        <w:tc>
          <w:tcPr>
            <w:tcW w:w="1080"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t</w:t>
            </w:r>
          </w:p>
        </w:tc>
        <w:tc>
          <w:tcPr>
            <w:tcW w:w="1055" w:type="dxa"/>
            <w:tcBorders>
              <w:tl2br w:val="nil"/>
              <w:tr2bl w:val="nil"/>
            </w:tcBorders>
            <w:vAlign w:val="center"/>
          </w:tcPr>
          <w:p>
            <w:pPr>
              <w:pStyle w:val="23"/>
              <w:ind w:left="420" w:hanging="420"/>
              <w:jc w:val="center"/>
              <w:rPr>
                <w:rFonts w:ascii="Times New Roman" w:hAnsi="Times New Roman"/>
                <w:szCs w:val="21"/>
              </w:rPr>
            </w:pPr>
            <w:r>
              <w:rPr>
                <w:rFonts w:ascii="Times New Roman" w:hAnsi="Times New Roman"/>
                <w:szCs w:val="21"/>
              </w:rPr>
              <w:t>3500</w:t>
            </w:r>
          </w:p>
        </w:tc>
        <w:tc>
          <w:tcPr>
            <w:tcW w:w="1125" w:type="dxa"/>
            <w:tcBorders>
              <w:tl2br w:val="nil"/>
              <w:tr2bl w:val="nil"/>
            </w:tcBorders>
            <w:vAlign w:val="center"/>
          </w:tcPr>
          <w:p>
            <w:pPr>
              <w:pStyle w:val="23"/>
              <w:ind w:left="420" w:hanging="420"/>
              <w:jc w:val="center"/>
              <w:rPr>
                <w:rFonts w:ascii="Times New Roman" w:hAnsi="Times New Roman"/>
                <w:szCs w:val="21"/>
              </w:rPr>
            </w:pPr>
          </w:p>
        </w:tc>
        <w:tc>
          <w:tcPr>
            <w:tcW w:w="1300" w:type="dxa"/>
            <w:tcBorders>
              <w:tl2br w:val="nil"/>
              <w:tr2bl w:val="nil"/>
            </w:tcBorders>
            <w:vAlign w:val="center"/>
          </w:tcPr>
          <w:p>
            <w:pPr>
              <w:pStyle w:val="23"/>
              <w:ind w:left="420" w:hanging="420"/>
              <w:jc w:val="center"/>
              <w:rPr>
                <w:rFonts w:ascii="Times New Roman" w:hAnsi="Times New Roman"/>
                <w:szCs w:val="21"/>
              </w:rPr>
            </w:pPr>
          </w:p>
        </w:tc>
        <w:tc>
          <w:tcPr>
            <w:tcW w:w="1335" w:type="dxa"/>
            <w:tcBorders>
              <w:tl2br w:val="nil"/>
              <w:tr2bl w:val="nil"/>
            </w:tcBorders>
            <w:vAlign w:val="center"/>
          </w:tcPr>
          <w:p>
            <w:pPr>
              <w:pStyle w:val="23"/>
              <w:ind w:left="420" w:hanging="420"/>
              <w:jc w:val="center"/>
              <w:rPr>
                <w:rFonts w:ascii="Times New Roman" w:hAnsi="Times New Roman"/>
                <w:szCs w:val="21"/>
              </w:rPr>
            </w:pPr>
          </w:p>
        </w:tc>
        <w:tc>
          <w:tcPr>
            <w:tcW w:w="1035" w:type="dxa"/>
            <w:tcBorders>
              <w:tl2br w:val="nil"/>
              <w:tr2bl w:val="nil"/>
            </w:tcBorders>
            <w:vAlign w:val="center"/>
          </w:tcPr>
          <w:p>
            <w:pPr>
              <w:pStyle w:val="23"/>
              <w:ind w:left="420" w:hanging="420"/>
              <w:jc w:val="center"/>
              <w:rPr>
                <w:rFonts w:ascii="Times New Roman" w:hAnsi="Times New Roman"/>
                <w:szCs w:val="21"/>
              </w:rPr>
            </w:pPr>
          </w:p>
        </w:tc>
      </w:tr>
    </w:tbl>
    <w:p>
      <w:pPr>
        <w:numPr>
          <w:ilvl w:val="0"/>
          <w:numId w:val="6"/>
        </w:numPr>
        <w:spacing w:line="360" w:lineRule="auto"/>
        <w:ind w:firstLine="480"/>
        <w:rPr>
          <w:sz w:val="24"/>
        </w:rPr>
      </w:pPr>
      <w:r>
        <w:rPr>
          <w:sz w:val="24"/>
        </w:rPr>
        <w:t>材料消耗量依据2014 年《湖南省农村土地整治项目预算定额标准》（试行）计取，材料价格依据当地工程造价管理信息，部分次要材料价格参考地方提供材料预算价格，主要材料根据实际情况计取超运距费</w:t>
      </w:r>
      <w:r>
        <w:rPr>
          <w:rFonts w:hint="eastAsia"/>
          <w:sz w:val="24"/>
        </w:rPr>
        <w:t>（表5-2），</w:t>
      </w:r>
      <w:r>
        <w:rPr>
          <w:sz w:val="24"/>
        </w:rPr>
        <w:t>材料取定预算价格=材料发布预算价格+材料超运距费。</w:t>
      </w:r>
    </w:p>
    <w:p>
      <w:pPr>
        <w:pStyle w:val="2"/>
      </w:pPr>
    </w:p>
    <w:p>
      <w:pPr>
        <w:pStyle w:val="2"/>
      </w:pPr>
    </w:p>
    <w:p/>
    <w:p>
      <w:pPr>
        <w:pStyle w:val="82"/>
        <w:spacing w:line="240" w:lineRule="auto"/>
        <w:jc w:val="center"/>
        <w:rPr>
          <w:rFonts w:ascii="宋体" w:hAnsi="宋体" w:eastAsia="宋体"/>
          <w:kern w:val="0"/>
          <w:szCs w:val="21"/>
        </w:rPr>
      </w:pPr>
      <w:r>
        <w:rPr>
          <w:rFonts w:hint="eastAsia" w:ascii="宋体" w:hAnsi="宋体" w:eastAsia="宋体"/>
          <w:kern w:val="0"/>
          <w:szCs w:val="21"/>
        </w:rPr>
        <w:t>表5-2      主材超运距费标准</w:t>
      </w:r>
    </w:p>
    <w:tbl>
      <w:tblPr>
        <w:tblStyle w:val="34"/>
        <w:tblW w:w="88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777"/>
        <w:gridCol w:w="1463"/>
        <w:gridCol w:w="777"/>
        <w:gridCol w:w="2930"/>
        <w:gridCol w:w="2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08" w:hRule="atLeast"/>
          <w:tblHeader/>
        </w:trPr>
        <w:tc>
          <w:tcPr>
            <w:tcW w:w="777" w:type="dxa"/>
            <w:vMerge w:val="restart"/>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序号</w:t>
            </w:r>
          </w:p>
        </w:tc>
        <w:tc>
          <w:tcPr>
            <w:tcW w:w="1463" w:type="dxa"/>
            <w:vMerge w:val="restart"/>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材料名称</w:t>
            </w:r>
          </w:p>
        </w:tc>
        <w:tc>
          <w:tcPr>
            <w:tcW w:w="777" w:type="dxa"/>
            <w:vMerge w:val="restart"/>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单位</w:t>
            </w:r>
          </w:p>
        </w:tc>
        <w:tc>
          <w:tcPr>
            <w:tcW w:w="5861" w:type="dxa"/>
            <w:gridSpan w:val="2"/>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超运距费标准（元/公里、m</w:t>
            </w:r>
            <w:r>
              <w:rPr>
                <w:rFonts w:hint="eastAsia" w:hAnsi="宋体" w:cs="宋体"/>
                <w:vertAlign w:val="superscript"/>
              </w:rPr>
              <w:t>3</w:t>
            </w:r>
            <w:r>
              <w:rPr>
                <w:rFonts w:hint="eastAsia" w:hAnsi="宋体" w:cs="宋体"/>
              </w:rPr>
              <w:t>、t、千块）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blHeader/>
        </w:trPr>
        <w:tc>
          <w:tcPr>
            <w:tcW w:w="777" w:type="dxa"/>
            <w:vMerge w:val="continue"/>
            <w:tcBorders>
              <w:tl2br w:val="nil"/>
              <w:tr2bl w:val="nil"/>
            </w:tcBorders>
            <w:vAlign w:val="center"/>
          </w:tcPr>
          <w:p>
            <w:pPr>
              <w:pStyle w:val="14"/>
              <w:spacing w:line="240" w:lineRule="atLeast"/>
              <w:ind w:left="420" w:hanging="420"/>
              <w:jc w:val="center"/>
              <w:rPr>
                <w:rFonts w:hAnsi="宋体" w:cs="宋体"/>
              </w:rPr>
            </w:pPr>
          </w:p>
        </w:tc>
        <w:tc>
          <w:tcPr>
            <w:tcW w:w="1463" w:type="dxa"/>
            <w:vMerge w:val="continue"/>
            <w:tcBorders>
              <w:tl2br w:val="nil"/>
              <w:tr2bl w:val="nil"/>
            </w:tcBorders>
            <w:vAlign w:val="center"/>
          </w:tcPr>
          <w:p>
            <w:pPr>
              <w:pStyle w:val="14"/>
              <w:spacing w:line="240" w:lineRule="atLeast"/>
              <w:ind w:left="420" w:hanging="420"/>
              <w:jc w:val="center"/>
              <w:rPr>
                <w:rFonts w:hAnsi="宋体" w:cs="宋体"/>
              </w:rPr>
            </w:pPr>
          </w:p>
        </w:tc>
        <w:tc>
          <w:tcPr>
            <w:tcW w:w="777" w:type="dxa"/>
            <w:vMerge w:val="continue"/>
            <w:tcBorders>
              <w:tl2br w:val="nil"/>
              <w:tr2bl w:val="nil"/>
            </w:tcBorders>
            <w:vAlign w:val="center"/>
          </w:tcPr>
          <w:p>
            <w:pPr>
              <w:pStyle w:val="14"/>
              <w:spacing w:line="240" w:lineRule="atLeast"/>
              <w:ind w:left="420" w:hanging="420"/>
              <w:jc w:val="center"/>
              <w:rPr>
                <w:rFonts w:hAnsi="宋体" w:cs="宋体"/>
              </w:rPr>
            </w:pP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超运距离20km以内</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超运距离20km以外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1</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砂</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2</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粗砂</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3</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卵石40</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4</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块石</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0.32</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5</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碎石</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6</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标准砖</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千块</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0.54</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7</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钢筋</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t</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0.2</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8</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水泥32.5</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kg</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0.2</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2" w:hRule="atLeast"/>
        </w:trPr>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9</w:t>
            </w:r>
          </w:p>
        </w:tc>
        <w:tc>
          <w:tcPr>
            <w:tcW w:w="1463"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中粗砂</w:t>
            </w:r>
          </w:p>
        </w:tc>
        <w:tc>
          <w:tcPr>
            <w:tcW w:w="777" w:type="dxa"/>
            <w:tcBorders>
              <w:tl2br w:val="nil"/>
              <w:tr2bl w:val="nil"/>
            </w:tcBorders>
            <w:noWrap/>
            <w:vAlign w:val="center"/>
          </w:tcPr>
          <w:p>
            <w:pPr>
              <w:pStyle w:val="14"/>
              <w:spacing w:line="240" w:lineRule="atLeast"/>
              <w:ind w:left="420" w:hanging="420"/>
              <w:jc w:val="center"/>
              <w:rPr>
                <w:rFonts w:hAnsi="宋体" w:cs="宋体"/>
              </w:rPr>
            </w:pPr>
            <w:r>
              <w:rPr>
                <w:rFonts w:hint="eastAsia" w:hAnsi="宋体" w:cs="宋体"/>
              </w:rPr>
              <w:t>m</w:t>
            </w:r>
            <w:r>
              <w:rPr>
                <w:rFonts w:hint="eastAsia" w:hAnsi="宋体" w:cs="宋体"/>
                <w:vertAlign w:val="superscript"/>
              </w:rPr>
              <w:t>3</w:t>
            </w:r>
          </w:p>
        </w:tc>
        <w:tc>
          <w:tcPr>
            <w:tcW w:w="2930"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0.3</w:t>
            </w:r>
          </w:p>
        </w:tc>
        <w:tc>
          <w:tcPr>
            <w:tcW w:w="2931" w:type="dxa"/>
            <w:tcBorders>
              <w:tl2br w:val="nil"/>
              <w:tr2bl w:val="nil"/>
            </w:tcBorders>
            <w:noWrap/>
            <w:vAlign w:val="center"/>
          </w:tcPr>
          <w:p>
            <w:pPr>
              <w:pStyle w:val="14"/>
              <w:adjustRightInd w:val="0"/>
              <w:snapToGrid w:val="0"/>
              <w:spacing w:line="240" w:lineRule="atLeast"/>
              <w:ind w:left="420" w:hanging="420"/>
              <w:jc w:val="center"/>
              <w:rPr>
                <w:rFonts w:hAnsi="宋体" w:cs="宋体"/>
              </w:rPr>
            </w:pPr>
            <w:r>
              <w:rPr>
                <w:rFonts w:hint="eastAsia" w:hAnsi="宋体" w:cs="宋体"/>
              </w:rPr>
              <w:t>0.6</w:t>
            </w:r>
          </w:p>
        </w:tc>
      </w:tr>
    </w:tbl>
    <w:p>
      <w:pPr>
        <w:spacing w:line="440" w:lineRule="exact"/>
        <w:ind w:firstLine="480" w:firstLineChars="200"/>
        <w:rPr>
          <w:kern w:val="0"/>
          <w:sz w:val="24"/>
        </w:rPr>
      </w:pPr>
      <w:r>
        <w:rPr>
          <w:kern w:val="0"/>
          <w:sz w:val="24"/>
        </w:rPr>
        <w:t>4、电、风、水预算价格</w:t>
      </w:r>
    </w:p>
    <w:p>
      <w:pPr>
        <w:spacing w:line="360" w:lineRule="auto"/>
        <w:ind w:firstLine="480" w:firstLineChars="200"/>
        <w:rPr>
          <w:sz w:val="24"/>
        </w:rPr>
      </w:pPr>
      <w:r>
        <w:rPr>
          <w:sz w:val="24"/>
        </w:rPr>
        <w:t>（1）施工用电价格计算</w:t>
      </w:r>
    </w:p>
    <w:p>
      <w:pPr>
        <w:spacing w:line="360" w:lineRule="auto"/>
        <w:ind w:firstLine="480" w:firstLineChars="200"/>
        <w:rPr>
          <w:sz w:val="24"/>
        </w:rPr>
      </w:pPr>
      <w:r>
        <w:rPr>
          <w:sz w:val="24"/>
        </w:rPr>
        <w:t>施工用电基准价格取《益阳市建设工程造价》（2022年第6期）建设工程材料预算，价格公布的电价</w:t>
      </w:r>
      <w:r>
        <w:rPr>
          <w:rFonts w:hint="eastAsia"/>
          <w:sz w:val="24"/>
        </w:rPr>
        <w:t>****</w:t>
      </w:r>
      <w:r>
        <w:rPr>
          <w:sz w:val="24"/>
        </w:rPr>
        <w:t>元/kw.h；</w:t>
      </w:r>
    </w:p>
    <w:p>
      <w:pPr>
        <w:spacing w:line="440" w:lineRule="exact"/>
        <w:ind w:firstLine="480" w:firstLineChars="200"/>
        <w:rPr>
          <w:sz w:val="24"/>
        </w:rPr>
      </w:pPr>
      <w:r>
        <w:rPr>
          <w:sz w:val="24"/>
        </w:rPr>
        <w:t>（2）施工用风价格计算</w:t>
      </w:r>
    </w:p>
    <w:p>
      <w:pPr>
        <w:spacing w:line="440" w:lineRule="exact"/>
        <w:ind w:firstLine="480" w:firstLineChars="200"/>
        <w:rPr>
          <w:sz w:val="24"/>
        </w:rPr>
      </w:pPr>
      <w:r>
        <w:rPr>
          <w:sz w:val="24"/>
        </w:rPr>
        <w:t>风价＝[（空气压缩机组（台）班总费用）/（空气压缩机额定容量之和×60分钟×8小时×K</w:t>
      </w:r>
      <w:r>
        <w:rPr>
          <w:sz w:val="24"/>
          <w:vertAlign w:val="subscript"/>
        </w:rPr>
        <w:t>1</w:t>
      </w:r>
      <w:r>
        <w:rPr>
          <w:sz w:val="24"/>
        </w:rPr>
        <w:t>×K</w:t>
      </w:r>
      <w:r>
        <w:rPr>
          <w:sz w:val="24"/>
          <w:vertAlign w:val="subscript"/>
        </w:rPr>
        <w:t>2</w:t>
      </w:r>
      <w:r>
        <w:rPr>
          <w:sz w:val="24"/>
        </w:rPr>
        <w:t>）]÷（1-供风损耗率）+单位循环冷却水费+供风管道维修摊销费</w:t>
      </w:r>
    </w:p>
    <w:p>
      <w:pPr>
        <w:spacing w:line="440" w:lineRule="exact"/>
        <w:ind w:firstLine="480" w:firstLineChars="200"/>
        <w:rPr>
          <w:sz w:val="24"/>
        </w:rPr>
      </w:pPr>
      <w:r>
        <w:rPr>
          <w:sz w:val="24"/>
        </w:rPr>
        <w:t>式中：K</w:t>
      </w:r>
      <w:r>
        <w:rPr>
          <w:sz w:val="24"/>
          <w:vertAlign w:val="subscript"/>
        </w:rPr>
        <w:t>1</w:t>
      </w:r>
      <w:r>
        <w:rPr>
          <w:sz w:val="24"/>
        </w:rPr>
        <w:t>—时间利用系数（取0.80）；</w:t>
      </w:r>
    </w:p>
    <w:p>
      <w:pPr>
        <w:spacing w:line="440" w:lineRule="exact"/>
        <w:ind w:firstLine="1200" w:firstLineChars="500"/>
        <w:rPr>
          <w:sz w:val="24"/>
        </w:rPr>
      </w:pPr>
      <w:r>
        <w:rPr>
          <w:sz w:val="24"/>
        </w:rPr>
        <w:t>K</w:t>
      </w:r>
      <w:r>
        <w:rPr>
          <w:sz w:val="24"/>
          <w:vertAlign w:val="subscript"/>
        </w:rPr>
        <w:t>2</w:t>
      </w:r>
      <w:r>
        <w:rPr>
          <w:sz w:val="24"/>
        </w:rPr>
        <w:t>—能量利用系数（取0.70）；</w:t>
      </w:r>
    </w:p>
    <w:p>
      <w:pPr>
        <w:spacing w:line="440" w:lineRule="exact"/>
        <w:ind w:firstLine="1200" w:firstLineChars="500"/>
        <w:rPr>
          <w:sz w:val="24"/>
        </w:rPr>
      </w:pPr>
      <w:r>
        <w:rPr>
          <w:sz w:val="24"/>
        </w:rPr>
        <w:t>供风损耗率取8﹪；单位循环冷却水费</w:t>
      </w:r>
      <w:r>
        <w:rPr>
          <w:rFonts w:hint="eastAsia"/>
          <w:sz w:val="24"/>
        </w:rPr>
        <w:t>*****</w:t>
      </w:r>
      <w:r>
        <w:rPr>
          <w:sz w:val="24"/>
        </w:rPr>
        <w:t>元/ m</w:t>
      </w:r>
      <w:r>
        <w:rPr>
          <w:sz w:val="24"/>
          <w:vertAlign w:val="superscript"/>
        </w:rPr>
        <w:t>3</w:t>
      </w:r>
      <w:r>
        <w:rPr>
          <w:sz w:val="24"/>
        </w:rPr>
        <w:t>；</w:t>
      </w:r>
    </w:p>
    <w:p>
      <w:pPr>
        <w:spacing w:line="440" w:lineRule="exact"/>
        <w:ind w:firstLine="1200" w:firstLineChars="500"/>
        <w:rPr>
          <w:sz w:val="24"/>
        </w:rPr>
      </w:pPr>
      <w:r>
        <w:rPr>
          <w:sz w:val="24"/>
        </w:rPr>
        <w:t>供风设施维修摊销费</w:t>
      </w:r>
      <w:r>
        <w:rPr>
          <w:rFonts w:hint="eastAsia"/>
          <w:sz w:val="24"/>
        </w:rPr>
        <w:t>****</w:t>
      </w:r>
      <w:r>
        <w:rPr>
          <w:sz w:val="24"/>
        </w:rPr>
        <w:t>～</w:t>
      </w:r>
      <w:r>
        <w:rPr>
          <w:rFonts w:hint="eastAsia"/>
          <w:sz w:val="24"/>
        </w:rPr>
        <w:t>****</w:t>
      </w:r>
      <w:r>
        <w:rPr>
          <w:sz w:val="24"/>
        </w:rPr>
        <w:t>元/ m</w:t>
      </w:r>
      <w:r>
        <w:rPr>
          <w:sz w:val="24"/>
          <w:vertAlign w:val="superscript"/>
        </w:rPr>
        <w:t>3</w:t>
      </w:r>
    </w:p>
    <w:p>
      <w:pPr>
        <w:spacing w:line="440" w:lineRule="exact"/>
        <w:rPr>
          <w:sz w:val="24"/>
        </w:rPr>
      </w:pPr>
      <w:r>
        <w:rPr>
          <w:sz w:val="24"/>
        </w:rPr>
        <w:t>根据台班定额空气压缩机台班总费用</w:t>
      </w:r>
      <w:r>
        <w:rPr>
          <w:rFonts w:hint="eastAsia"/>
          <w:sz w:val="24"/>
        </w:rPr>
        <w:t>****</w:t>
      </w:r>
      <w:r>
        <w:rPr>
          <w:sz w:val="24"/>
        </w:rPr>
        <w:t>元，空气压缩机额定容量之和为3；</w:t>
      </w:r>
    </w:p>
    <w:p>
      <w:pPr>
        <w:spacing w:line="440" w:lineRule="exact"/>
        <w:rPr>
          <w:sz w:val="24"/>
        </w:rPr>
      </w:pPr>
      <w:r>
        <w:rPr>
          <w:sz w:val="24"/>
        </w:rPr>
        <w:t>风价＝</w:t>
      </w:r>
      <w:r>
        <w:rPr>
          <w:rFonts w:hint="eastAsia"/>
          <w:sz w:val="24"/>
        </w:rPr>
        <w:t>****</w:t>
      </w:r>
      <w:r>
        <w:rPr>
          <w:sz w:val="24"/>
        </w:rPr>
        <w:t>÷（3×60×8×0.8×0.8）÷（1-8﹪）+0.005+0.002＝</w:t>
      </w:r>
      <w:r>
        <w:rPr>
          <w:rFonts w:hint="eastAsia"/>
          <w:sz w:val="24"/>
        </w:rPr>
        <w:t>****</w:t>
      </w:r>
      <w:r>
        <w:rPr>
          <w:sz w:val="24"/>
        </w:rPr>
        <w:t>元/ m</w:t>
      </w:r>
      <w:r>
        <w:rPr>
          <w:sz w:val="24"/>
          <w:vertAlign w:val="superscript"/>
        </w:rPr>
        <w:t>3</w:t>
      </w:r>
      <w:r>
        <w:rPr>
          <w:sz w:val="24"/>
        </w:rPr>
        <w:t>。</w:t>
      </w:r>
    </w:p>
    <w:p>
      <w:pPr>
        <w:spacing w:line="440" w:lineRule="exact"/>
        <w:ind w:firstLine="480" w:firstLineChars="200"/>
        <w:rPr>
          <w:sz w:val="24"/>
        </w:rPr>
      </w:pPr>
      <w:r>
        <w:rPr>
          <w:sz w:val="24"/>
        </w:rPr>
        <w:t>（3）施工用水价格计算</w:t>
      </w:r>
    </w:p>
    <w:p>
      <w:pPr>
        <w:spacing w:line="440" w:lineRule="exact"/>
        <w:ind w:firstLine="480" w:firstLineChars="200"/>
        <w:rPr>
          <w:sz w:val="24"/>
        </w:rPr>
      </w:pPr>
      <w:r>
        <w:rPr>
          <w:sz w:val="24"/>
        </w:rPr>
        <w:t>施工用水价格＝[水泵组（台）班总费用÷（水泵额定容量之和×8小时×K1×K2）]÷（1-供水损耗率）+供水设施维修摊销费</w:t>
      </w:r>
    </w:p>
    <w:p>
      <w:pPr>
        <w:spacing w:line="440" w:lineRule="exact"/>
        <w:ind w:firstLine="480" w:firstLineChars="200"/>
        <w:rPr>
          <w:sz w:val="24"/>
        </w:rPr>
      </w:pPr>
      <w:r>
        <w:rPr>
          <w:sz w:val="24"/>
        </w:rPr>
        <w:t>式中：K</w:t>
      </w:r>
      <w:r>
        <w:rPr>
          <w:sz w:val="24"/>
          <w:vertAlign w:val="subscript"/>
        </w:rPr>
        <w:t>1</w:t>
      </w:r>
      <w:r>
        <w:rPr>
          <w:sz w:val="24"/>
        </w:rPr>
        <w:t>—时间利用系数（一般取0.8）；</w:t>
      </w:r>
    </w:p>
    <w:p>
      <w:pPr>
        <w:spacing w:line="440" w:lineRule="exact"/>
        <w:ind w:firstLine="1200" w:firstLineChars="500"/>
        <w:rPr>
          <w:sz w:val="24"/>
        </w:rPr>
      </w:pPr>
      <w:r>
        <w:rPr>
          <w:sz w:val="24"/>
        </w:rPr>
        <w:t>K</w:t>
      </w:r>
      <w:r>
        <w:rPr>
          <w:sz w:val="24"/>
          <w:vertAlign w:val="subscript"/>
        </w:rPr>
        <w:t>2</w:t>
      </w:r>
      <w:r>
        <w:rPr>
          <w:sz w:val="24"/>
        </w:rPr>
        <w:t>—能量利用系数（一般取0.85）；</w:t>
      </w:r>
    </w:p>
    <w:p>
      <w:pPr>
        <w:spacing w:line="440" w:lineRule="exact"/>
        <w:ind w:firstLine="1200" w:firstLineChars="500"/>
        <w:rPr>
          <w:sz w:val="24"/>
        </w:rPr>
      </w:pPr>
      <w:r>
        <w:rPr>
          <w:sz w:val="24"/>
        </w:rPr>
        <w:t>供水损耗率取5﹪；供水设施维修摊销费取</w:t>
      </w:r>
      <w:r>
        <w:rPr>
          <w:rFonts w:hint="eastAsia"/>
          <w:sz w:val="24"/>
        </w:rPr>
        <w:t>***</w:t>
      </w:r>
      <w:r>
        <w:rPr>
          <w:sz w:val="24"/>
        </w:rPr>
        <w:t>元/ m</w:t>
      </w:r>
      <w:r>
        <w:rPr>
          <w:sz w:val="24"/>
          <w:vertAlign w:val="superscript"/>
        </w:rPr>
        <w:t>3</w:t>
      </w:r>
      <w:r>
        <w:rPr>
          <w:sz w:val="24"/>
        </w:rPr>
        <w:t>；</w:t>
      </w:r>
    </w:p>
    <w:p>
      <w:pPr>
        <w:spacing w:line="440" w:lineRule="exact"/>
        <w:ind w:firstLine="480" w:firstLineChars="200"/>
        <w:rPr>
          <w:sz w:val="24"/>
        </w:rPr>
      </w:pPr>
      <w:r>
        <w:rPr>
          <w:sz w:val="24"/>
        </w:rPr>
        <w:t>根据台班定额水泵组班总费用为</w:t>
      </w:r>
      <w:r>
        <w:rPr>
          <w:rFonts w:hint="eastAsia"/>
          <w:sz w:val="24"/>
        </w:rPr>
        <w:t>****</w:t>
      </w:r>
      <w:r>
        <w:rPr>
          <w:sz w:val="24"/>
        </w:rPr>
        <w:t>元，水泵额定容量之和为</w:t>
      </w:r>
      <w:r>
        <w:rPr>
          <w:rFonts w:hint="eastAsia"/>
          <w:sz w:val="24"/>
        </w:rPr>
        <w:t>****</w:t>
      </w:r>
      <w:r>
        <w:rPr>
          <w:sz w:val="24"/>
        </w:rPr>
        <w:t>；施工用水价格＝[</w:t>
      </w:r>
      <w:r>
        <w:rPr>
          <w:rFonts w:hint="eastAsia"/>
          <w:sz w:val="24"/>
        </w:rPr>
        <w:t>****</w:t>
      </w:r>
      <w:r>
        <w:rPr>
          <w:sz w:val="24"/>
        </w:rPr>
        <w:t>÷（</w:t>
      </w:r>
      <w:r>
        <w:rPr>
          <w:rFonts w:hint="eastAsia"/>
          <w:sz w:val="24"/>
        </w:rPr>
        <w:t>****</w:t>
      </w:r>
      <w:r>
        <w:rPr>
          <w:sz w:val="24"/>
        </w:rPr>
        <w:t>×</w:t>
      </w:r>
      <w:r>
        <w:rPr>
          <w:rFonts w:hint="eastAsia"/>
          <w:sz w:val="24"/>
        </w:rPr>
        <w:t>*</w:t>
      </w:r>
      <w:r>
        <w:rPr>
          <w:sz w:val="24"/>
        </w:rPr>
        <w:t>×</w:t>
      </w:r>
      <w:r>
        <w:rPr>
          <w:rFonts w:hint="eastAsia"/>
          <w:sz w:val="24"/>
        </w:rPr>
        <w:t>**</w:t>
      </w:r>
      <w:r>
        <w:rPr>
          <w:sz w:val="24"/>
        </w:rPr>
        <w:t>×</w:t>
      </w:r>
      <w:r>
        <w:rPr>
          <w:rFonts w:hint="eastAsia"/>
          <w:sz w:val="24"/>
        </w:rPr>
        <w:t>***</w:t>
      </w:r>
      <w:r>
        <w:rPr>
          <w:sz w:val="24"/>
        </w:rPr>
        <w:t>）]÷（1-5﹪）+0.02＝</w:t>
      </w:r>
      <w:r>
        <w:rPr>
          <w:rFonts w:hint="eastAsia"/>
          <w:sz w:val="24"/>
        </w:rPr>
        <w:t>****</w:t>
      </w:r>
      <w:r>
        <w:rPr>
          <w:sz w:val="24"/>
        </w:rPr>
        <w:t>元/ m</w:t>
      </w:r>
      <w:r>
        <w:rPr>
          <w:sz w:val="24"/>
          <w:vertAlign w:val="superscript"/>
        </w:rPr>
        <w:t>3</w:t>
      </w:r>
      <w:r>
        <w:rPr>
          <w:sz w:val="24"/>
        </w:rPr>
        <w:t>。</w:t>
      </w:r>
    </w:p>
    <w:p>
      <w:pPr>
        <w:pStyle w:val="5"/>
        <w:spacing w:before="0" w:after="0" w:line="360" w:lineRule="auto"/>
        <w:jc w:val="left"/>
        <w:rPr>
          <w:b w:val="0"/>
          <w:bCs w:val="0"/>
          <w:sz w:val="24"/>
          <w:szCs w:val="24"/>
        </w:rPr>
      </w:pPr>
      <w:r>
        <w:rPr>
          <w:b w:val="0"/>
          <w:bCs w:val="0"/>
          <w:sz w:val="24"/>
          <w:szCs w:val="24"/>
        </w:rPr>
        <w:t>（四）</w:t>
      </w:r>
      <w:bookmarkEnd w:id="83"/>
      <w:r>
        <w:rPr>
          <w:b w:val="0"/>
          <w:bCs w:val="0"/>
          <w:sz w:val="24"/>
          <w:szCs w:val="24"/>
        </w:rPr>
        <w:t>取费标准和计算方法说明</w:t>
      </w:r>
    </w:p>
    <w:p>
      <w:pPr>
        <w:spacing w:line="420" w:lineRule="exact"/>
        <w:ind w:firstLine="480"/>
        <w:rPr>
          <w:sz w:val="24"/>
        </w:rPr>
      </w:pPr>
      <w:r>
        <w:rPr>
          <w:sz w:val="24"/>
        </w:rPr>
        <w:t>根据[湘财建〔2014〕22号]，本项目预算由工程施工费、设备费、其它费用（包括前期工作费、工程监理费、竣工验收费、业主管理费、拆迁补偿费）、复垦监测与管护费用和不可预见费等几个部分构成，计算单位以元为单位，取小数点后两位计到分，汇总后取整数到元。</w:t>
      </w:r>
    </w:p>
    <w:p>
      <w:pPr>
        <w:spacing w:line="360" w:lineRule="auto"/>
        <w:ind w:firstLine="480" w:firstLineChars="200"/>
        <w:rPr>
          <w:sz w:val="24"/>
        </w:rPr>
      </w:pPr>
      <w:r>
        <w:rPr>
          <w:sz w:val="24"/>
        </w:rPr>
        <w:t>1、工程施工费</w:t>
      </w:r>
    </w:p>
    <w:p>
      <w:pPr>
        <w:spacing w:line="420" w:lineRule="exact"/>
        <w:ind w:firstLine="480"/>
        <w:rPr>
          <w:sz w:val="24"/>
        </w:rPr>
      </w:pPr>
      <w:r>
        <w:rPr>
          <w:sz w:val="24"/>
        </w:rPr>
        <w:t>工程施工费由直接费、间接费、利润和税金组成。</w:t>
      </w:r>
    </w:p>
    <w:p>
      <w:pPr>
        <w:spacing w:line="420" w:lineRule="exact"/>
        <w:ind w:firstLine="480"/>
        <w:rPr>
          <w:sz w:val="24"/>
        </w:rPr>
      </w:pPr>
      <w:r>
        <w:rPr>
          <w:sz w:val="24"/>
        </w:rPr>
        <w:t>依据“湘国土资发[2017]24号”文,土地整治工程施工费按“价税分离”的原则计算。工程造价=税前工程造价×（1+9%）。其中，9%为增值税税率，税前工程造价为人工费、材料费、施工机械使用费、措施费、间接费、利润、材料价差、未计价材料费之和，各费用项目均以不包含增值税可抵扣进项税额的价格计算。税前工程造价以不含增值税价格为计算基础，计取各项费用。</w:t>
      </w:r>
    </w:p>
    <w:p>
      <w:pPr>
        <w:spacing w:line="420" w:lineRule="exact"/>
        <w:ind w:firstLine="480"/>
        <w:rPr>
          <w:sz w:val="24"/>
        </w:rPr>
      </w:pPr>
      <w:r>
        <w:rPr>
          <w:sz w:val="24"/>
        </w:rPr>
        <w:t>（1）直接费</w:t>
      </w:r>
    </w:p>
    <w:p>
      <w:pPr>
        <w:spacing w:line="420" w:lineRule="exact"/>
        <w:ind w:firstLine="480"/>
        <w:rPr>
          <w:sz w:val="24"/>
        </w:rPr>
      </w:pPr>
      <w:r>
        <w:rPr>
          <w:sz w:val="24"/>
        </w:rPr>
        <w:t>由直接工程费（人工费、材料费、施工机械使用费）和措施费组成。</w:t>
      </w:r>
    </w:p>
    <w:p>
      <w:pPr>
        <w:spacing w:line="420" w:lineRule="exact"/>
        <w:ind w:firstLine="480"/>
        <w:rPr>
          <w:sz w:val="24"/>
        </w:rPr>
      </w:pPr>
      <w:r>
        <w:rPr>
          <w:rFonts w:hint="eastAsia" w:ascii="宋体" w:hAnsi="宋体" w:cs="宋体"/>
          <w:sz w:val="24"/>
        </w:rPr>
        <w:t>①</w:t>
      </w:r>
      <w:r>
        <w:rPr>
          <w:sz w:val="24"/>
        </w:rPr>
        <w:t>人工费＝定额劳动量×人工预算单价。</w:t>
      </w:r>
    </w:p>
    <w:p>
      <w:pPr>
        <w:spacing w:line="420" w:lineRule="exact"/>
        <w:ind w:firstLine="480"/>
        <w:rPr>
          <w:sz w:val="24"/>
        </w:rPr>
      </w:pPr>
      <w:r>
        <w:rPr>
          <w:rFonts w:hint="eastAsia" w:ascii="宋体" w:hAnsi="宋体" w:cs="宋体"/>
          <w:sz w:val="24"/>
        </w:rPr>
        <w:t>②</w:t>
      </w:r>
      <w:r>
        <w:rPr>
          <w:sz w:val="24"/>
        </w:rPr>
        <w:t>材料费＝定额材料用量×材料预算单价</w:t>
      </w:r>
    </w:p>
    <w:p>
      <w:pPr>
        <w:spacing w:line="420" w:lineRule="exact"/>
        <w:ind w:firstLine="480"/>
        <w:rPr>
          <w:sz w:val="24"/>
        </w:rPr>
      </w:pPr>
      <w:r>
        <w:rPr>
          <w:sz w:val="24"/>
        </w:rPr>
        <w:t>材料费定额的计算，材料用量按照2014年土整定额标准编制，本次概算编制材料价格全部以材料到工地实际价格计算。材料费＝定额材料用量×材料概算单价。</w:t>
      </w:r>
    </w:p>
    <w:p>
      <w:pPr>
        <w:spacing w:line="420" w:lineRule="exact"/>
        <w:ind w:firstLine="480"/>
        <w:rPr>
          <w:sz w:val="24"/>
        </w:rPr>
      </w:pPr>
      <w:r>
        <w:rPr>
          <w:rFonts w:hint="eastAsia" w:ascii="宋体" w:hAnsi="宋体" w:cs="宋体"/>
          <w:sz w:val="24"/>
        </w:rPr>
        <w:t>③</w:t>
      </w:r>
      <w:r>
        <w:rPr>
          <w:sz w:val="24"/>
        </w:rPr>
        <w:t>施工机械使用费＝定额机械使用量×施工机械台班费</w:t>
      </w:r>
    </w:p>
    <w:p>
      <w:pPr>
        <w:spacing w:line="420" w:lineRule="exact"/>
        <w:ind w:firstLine="480"/>
        <w:rPr>
          <w:sz w:val="24"/>
        </w:rPr>
      </w:pPr>
      <w:r>
        <w:rPr>
          <w:sz w:val="24"/>
        </w:rPr>
        <w:t>施工机械使用费定额的计算，台班定额和台班费定额依据《湖南省土地开发整理项目预算定额》。施工机械使用费＝定额机械使用量(台班)×施工机械台班费(元/台班)。</w:t>
      </w:r>
    </w:p>
    <w:p>
      <w:pPr>
        <w:spacing w:line="420" w:lineRule="exact"/>
        <w:ind w:firstLine="480"/>
        <w:rPr>
          <w:sz w:val="24"/>
        </w:rPr>
      </w:pPr>
      <w:r>
        <w:rPr>
          <w:rFonts w:hint="eastAsia" w:ascii="宋体" w:hAnsi="宋体" w:cs="宋体"/>
          <w:sz w:val="24"/>
        </w:rPr>
        <w:t>④</w:t>
      </w:r>
      <w:r>
        <w:rPr>
          <w:sz w:val="24"/>
        </w:rPr>
        <w:t>措施费：由临时设施费、冬雨季施工增加费、夜间施工增加费、施工辅助费、特殊地区施工增加费、安全施工措施费组成；项目措施费计算具体见表5-3。</w:t>
      </w: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表5-3     工程措施费费率表 </w:t>
      </w:r>
    </w:p>
    <w:tbl>
      <w:tblPr>
        <w:tblStyle w:val="3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321"/>
        <w:gridCol w:w="973"/>
        <w:gridCol w:w="1291"/>
        <w:gridCol w:w="1078"/>
        <w:gridCol w:w="1312"/>
        <w:gridCol w:w="1224"/>
        <w:gridCol w:w="978"/>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工程</w:t>
            </w:r>
          </w:p>
          <w:p>
            <w:pPr>
              <w:pStyle w:val="8"/>
              <w:ind w:left="420" w:hanging="420"/>
              <w:jc w:val="center"/>
              <w:rPr>
                <w:rFonts w:ascii="宋体" w:hAnsi="宋体" w:cs="宋体"/>
                <w:sz w:val="21"/>
                <w:szCs w:val="21"/>
              </w:rPr>
            </w:pPr>
            <w:r>
              <w:rPr>
                <w:rFonts w:hint="eastAsia" w:ascii="宋体" w:hAnsi="宋体" w:cs="宋体"/>
                <w:sz w:val="21"/>
                <w:szCs w:val="21"/>
              </w:rPr>
              <w:t>类别</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临时设施</w:t>
            </w:r>
          </w:p>
          <w:p>
            <w:pPr>
              <w:pStyle w:val="8"/>
              <w:ind w:left="420" w:hanging="420"/>
              <w:jc w:val="center"/>
              <w:rPr>
                <w:rFonts w:ascii="宋体" w:hAnsi="宋体" w:cs="宋体"/>
                <w:sz w:val="21"/>
                <w:szCs w:val="21"/>
              </w:rPr>
            </w:pPr>
            <w:r>
              <w:rPr>
                <w:rFonts w:hint="eastAsia" w:ascii="宋体" w:hAnsi="宋体" w:cs="宋体"/>
                <w:sz w:val="21"/>
                <w:szCs w:val="21"/>
              </w:rPr>
              <w:t>费率</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冬雨季施工</w:t>
            </w:r>
          </w:p>
          <w:p>
            <w:pPr>
              <w:pStyle w:val="8"/>
              <w:ind w:left="420" w:hanging="420"/>
              <w:jc w:val="center"/>
              <w:rPr>
                <w:rFonts w:ascii="宋体" w:hAnsi="宋体" w:cs="宋体"/>
                <w:sz w:val="21"/>
                <w:szCs w:val="21"/>
              </w:rPr>
            </w:pPr>
            <w:r>
              <w:rPr>
                <w:rFonts w:hint="eastAsia" w:ascii="宋体" w:hAnsi="宋体" w:cs="宋体"/>
                <w:sz w:val="21"/>
                <w:szCs w:val="21"/>
              </w:rPr>
              <w:t>增加费率</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夜间施工</w:t>
            </w:r>
          </w:p>
          <w:p>
            <w:pPr>
              <w:pStyle w:val="8"/>
              <w:ind w:left="420" w:hanging="420"/>
              <w:jc w:val="center"/>
              <w:rPr>
                <w:rFonts w:ascii="宋体" w:hAnsi="宋体" w:cs="宋体"/>
                <w:sz w:val="21"/>
                <w:szCs w:val="21"/>
              </w:rPr>
            </w:pPr>
            <w:r>
              <w:rPr>
                <w:rFonts w:hint="eastAsia" w:ascii="宋体" w:hAnsi="宋体" w:cs="宋体"/>
                <w:sz w:val="21"/>
                <w:szCs w:val="21"/>
              </w:rPr>
              <w:t>增加费</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施工辅助</w:t>
            </w:r>
          </w:p>
          <w:p>
            <w:pPr>
              <w:pStyle w:val="8"/>
              <w:ind w:left="420" w:hanging="420"/>
              <w:jc w:val="center"/>
              <w:rPr>
                <w:rFonts w:ascii="宋体" w:hAnsi="宋体" w:cs="宋体"/>
                <w:sz w:val="21"/>
                <w:szCs w:val="21"/>
              </w:rPr>
            </w:pPr>
            <w:r>
              <w:rPr>
                <w:rFonts w:hint="eastAsia" w:ascii="宋体" w:hAnsi="宋体" w:cs="宋体"/>
                <w:sz w:val="21"/>
                <w:szCs w:val="21"/>
              </w:rPr>
              <w:t>费率</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特殊地区施</w:t>
            </w:r>
          </w:p>
          <w:p>
            <w:pPr>
              <w:pStyle w:val="8"/>
              <w:ind w:left="420" w:hanging="420"/>
              <w:jc w:val="center"/>
              <w:rPr>
                <w:rFonts w:ascii="宋体" w:hAnsi="宋体" w:cs="宋体"/>
                <w:sz w:val="21"/>
                <w:szCs w:val="21"/>
              </w:rPr>
            </w:pPr>
            <w:r>
              <w:rPr>
                <w:rFonts w:hint="eastAsia" w:ascii="宋体" w:hAnsi="宋体" w:cs="宋体"/>
                <w:sz w:val="21"/>
                <w:szCs w:val="21"/>
              </w:rPr>
              <w:t>工增加费</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安全施工</w:t>
            </w:r>
          </w:p>
          <w:p>
            <w:pPr>
              <w:pStyle w:val="8"/>
              <w:ind w:left="420" w:hanging="420"/>
              <w:jc w:val="center"/>
              <w:rPr>
                <w:rFonts w:ascii="宋体" w:hAnsi="宋体" w:cs="宋体"/>
                <w:sz w:val="21"/>
                <w:szCs w:val="21"/>
              </w:rPr>
            </w:pPr>
            <w:r>
              <w:rPr>
                <w:rFonts w:hint="eastAsia" w:ascii="宋体" w:hAnsi="宋体" w:cs="宋体"/>
                <w:sz w:val="21"/>
                <w:szCs w:val="21"/>
              </w:rPr>
              <w:t>措施费</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土方工程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2</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石方工程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2</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砌体工程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2</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混凝土工程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3</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农用井工程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3</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其他工程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2</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0.7</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0.2</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132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安装工程</w:t>
            </w:r>
          </w:p>
        </w:tc>
        <w:tc>
          <w:tcPr>
            <w:tcW w:w="973"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3</w:t>
            </w:r>
          </w:p>
        </w:tc>
        <w:tc>
          <w:tcPr>
            <w:tcW w:w="129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1.1</w:t>
            </w:r>
          </w:p>
        </w:tc>
        <w:tc>
          <w:tcPr>
            <w:tcW w:w="10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1312"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1.0</w:t>
            </w:r>
          </w:p>
        </w:tc>
        <w:tc>
          <w:tcPr>
            <w:tcW w:w="1224"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w:t>
            </w:r>
          </w:p>
        </w:tc>
        <w:tc>
          <w:tcPr>
            <w:tcW w:w="978"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0.3</w:t>
            </w:r>
          </w:p>
        </w:tc>
        <w:tc>
          <w:tcPr>
            <w:tcW w:w="701" w:type="dxa"/>
            <w:tcBorders>
              <w:tl2br w:val="nil"/>
              <w:tr2bl w:val="nil"/>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5.4</w:t>
            </w:r>
          </w:p>
        </w:tc>
      </w:tr>
    </w:tbl>
    <w:p>
      <w:pPr>
        <w:spacing w:line="360" w:lineRule="auto"/>
        <w:ind w:firstLine="480" w:firstLineChars="200"/>
        <w:rPr>
          <w:sz w:val="24"/>
        </w:rPr>
      </w:pPr>
      <w:r>
        <w:rPr>
          <w:sz w:val="24"/>
        </w:rPr>
        <w:t>临时设施费指施工企业为进行工程施工所必须搭设的生活和生产用的临时建筑物、构筑物和其他临时设施费用等，费用包括：临时设施的搭设、维修、拆除费或摊销费。</w:t>
      </w:r>
    </w:p>
    <w:p>
      <w:pPr>
        <w:spacing w:line="360" w:lineRule="auto"/>
        <w:ind w:firstLine="480" w:firstLineChars="200"/>
        <w:rPr>
          <w:sz w:val="24"/>
        </w:rPr>
      </w:pPr>
      <w:r>
        <w:rPr>
          <w:sz w:val="24"/>
        </w:rPr>
        <w:t>冬雨季施工增加费：指在冬雨季施工期间为保证工程质量所需增加的费用。《编制规定》根据不同地区，按直接工程费的百分率计算，费率确定为0.7～1.5%。该项目冬雨季施工增加费按1.1%计取，取费基础为直接工程费。</w:t>
      </w:r>
    </w:p>
    <w:p>
      <w:pPr>
        <w:spacing w:line="360" w:lineRule="auto"/>
        <w:ind w:firstLine="480" w:firstLineChars="200"/>
        <w:rPr>
          <w:sz w:val="24"/>
        </w:rPr>
      </w:pPr>
      <w:r>
        <w:rPr>
          <w:sz w:val="24"/>
        </w:rPr>
        <w:t>施工辅助费包括：二次搬运费、已完工程及设备保护费、施工排水及降水费、检验试验费、工程定位复测费、工程点交等费用。该项目施工辅助费按照直接工程费的百分率计取，其中：安装工程为0.8%，建筑工程为0.5%。</w:t>
      </w:r>
    </w:p>
    <w:p>
      <w:pPr>
        <w:spacing w:line="360" w:lineRule="auto"/>
        <w:ind w:firstLine="315" w:firstLineChars="150"/>
        <w:rPr>
          <w:sz w:val="24"/>
        </w:rPr>
      </w:pPr>
      <w:r>
        <w:t>（2）</w:t>
      </w:r>
      <w:r>
        <w:rPr>
          <w:sz w:val="24"/>
        </w:rPr>
        <w:t>间接费</w:t>
      </w:r>
    </w:p>
    <w:p>
      <w:pPr>
        <w:spacing w:line="360" w:lineRule="auto"/>
        <w:ind w:firstLine="480" w:firstLineChars="200"/>
        <w:rPr>
          <w:sz w:val="24"/>
        </w:rPr>
      </w:pPr>
      <w:r>
        <w:rPr>
          <w:sz w:val="24"/>
        </w:rPr>
        <w:t>间接费包括企业管理费和规费；依据【湘财建[2014]22号】规定，间接费按工程类别进行计取，将《定额标准》中的“城市维护建设税”“教育费附加”和“地方教育费附加”调整到间接费的企业管理费中，相应的间接费费率调增0.45%（以人工费为计费基础的安装工程费率不调整）。其取费标准如表5-4所示。</w:t>
      </w: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表5-4    间接费费率表</w:t>
      </w:r>
    </w:p>
    <w:tbl>
      <w:tblPr>
        <w:tblStyle w:val="34"/>
        <w:tblW w:w="9069"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75"/>
        <w:gridCol w:w="1276"/>
        <w:gridCol w:w="1402"/>
        <w:gridCol w:w="703"/>
        <w:gridCol w:w="1317"/>
        <w:gridCol w:w="1095"/>
        <w:gridCol w:w="129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Align w:val="center"/>
          </w:tcPr>
          <w:p>
            <w:pPr>
              <w:pStyle w:val="8"/>
              <w:ind w:left="420" w:hanging="420"/>
              <w:jc w:val="center"/>
              <w:rPr>
                <w:rFonts w:ascii="宋体" w:hAnsi="宋体" w:cs="宋体"/>
                <w:sz w:val="21"/>
                <w:szCs w:val="21"/>
              </w:rPr>
            </w:pPr>
            <w:r>
              <w:rPr>
                <w:rFonts w:hint="eastAsia" w:ascii="宋体" w:hAnsi="宋体" w:cs="宋体"/>
                <w:sz w:val="21"/>
                <w:szCs w:val="21"/>
              </w:rPr>
              <w:t>序号</w:t>
            </w:r>
          </w:p>
        </w:tc>
        <w:tc>
          <w:tcPr>
            <w:tcW w:w="1275" w:type="dxa"/>
            <w:vAlign w:val="center"/>
          </w:tcPr>
          <w:p>
            <w:pPr>
              <w:pStyle w:val="8"/>
              <w:ind w:left="420" w:hanging="420"/>
              <w:jc w:val="center"/>
              <w:rPr>
                <w:rFonts w:ascii="宋体" w:hAnsi="宋体" w:cs="宋体"/>
                <w:sz w:val="21"/>
                <w:szCs w:val="21"/>
              </w:rPr>
            </w:pPr>
            <w:r>
              <w:rPr>
                <w:rFonts w:hint="eastAsia" w:ascii="宋体" w:hAnsi="宋体" w:cs="宋体"/>
                <w:sz w:val="21"/>
                <w:szCs w:val="21"/>
              </w:rPr>
              <w:t>工程类别</w:t>
            </w:r>
          </w:p>
        </w:tc>
        <w:tc>
          <w:tcPr>
            <w:tcW w:w="1276" w:type="dxa"/>
            <w:vAlign w:val="center"/>
          </w:tcPr>
          <w:p>
            <w:pPr>
              <w:pStyle w:val="8"/>
              <w:ind w:left="420" w:hanging="420"/>
              <w:jc w:val="center"/>
              <w:rPr>
                <w:rFonts w:ascii="宋体" w:hAnsi="宋体" w:cs="宋体"/>
                <w:sz w:val="21"/>
                <w:szCs w:val="21"/>
              </w:rPr>
            </w:pPr>
            <w:r>
              <w:rPr>
                <w:rFonts w:hint="eastAsia" w:ascii="宋体" w:hAnsi="宋体" w:cs="宋体"/>
                <w:sz w:val="21"/>
                <w:szCs w:val="21"/>
              </w:rPr>
              <w:t>计算基础</w:t>
            </w:r>
          </w:p>
        </w:tc>
        <w:tc>
          <w:tcPr>
            <w:tcW w:w="1402" w:type="dxa"/>
            <w:tcBorders>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间接费费率</w:t>
            </w:r>
          </w:p>
          <w:p>
            <w:pPr>
              <w:pStyle w:val="8"/>
              <w:ind w:left="420" w:hanging="420"/>
              <w:jc w:val="center"/>
              <w:rPr>
                <w:rFonts w:ascii="宋体" w:hAnsi="宋体" w:cs="宋体"/>
                <w:sz w:val="21"/>
                <w:szCs w:val="21"/>
              </w:rPr>
            </w:pPr>
            <w:r>
              <w:rPr>
                <w:rFonts w:hint="eastAsia" w:ascii="宋体" w:hAnsi="宋体" w:cs="宋体"/>
                <w:sz w:val="21"/>
                <w:szCs w:val="21"/>
              </w:rPr>
              <w:t>（%）</w:t>
            </w:r>
          </w:p>
        </w:tc>
        <w:tc>
          <w:tcPr>
            <w:tcW w:w="703"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序号</w:t>
            </w:r>
          </w:p>
        </w:tc>
        <w:tc>
          <w:tcPr>
            <w:tcW w:w="1317"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工程类别</w:t>
            </w:r>
          </w:p>
        </w:tc>
        <w:tc>
          <w:tcPr>
            <w:tcW w:w="1095"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计算基础</w:t>
            </w:r>
          </w:p>
        </w:tc>
        <w:tc>
          <w:tcPr>
            <w:tcW w:w="1292" w:type="dxa"/>
            <w:tcBorders>
              <w:lef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间接费费率（%）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709" w:type="dxa"/>
            <w:vAlign w:val="center"/>
          </w:tcPr>
          <w:p>
            <w:pPr>
              <w:pStyle w:val="8"/>
              <w:ind w:left="420" w:hanging="420"/>
              <w:jc w:val="center"/>
              <w:rPr>
                <w:rFonts w:ascii="宋体" w:hAnsi="宋体" w:cs="宋体"/>
                <w:sz w:val="21"/>
                <w:szCs w:val="21"/>
              </w:rPr>
            </w:pPr>
            <w:r>
              <w:rPr>
                <w:rFonts w:hint="eastAsia" w:ascii="宋体" w:hAnsi="宋体" w:cs="宋体"/>
                <w:sz w:val="21"/>
                <w:szCs w:val="21"/>
              </w:rPr>
              <w:t>1</w:t>
            </w:r>
          </w:p>
        </w:tc>
        <w:tc>
          <w:tcPr>
            <w:tcW w:w="1275" w:type="dxa"/>
            <w:vAlign w:val="center"/>
          </w:tcPr>
          <w:p>
            <w:pPr>
              <w:pStyle w:val="8"/>
              <w:ind w:left="420" w:hanging="420"/>
              <w:jc w:val="center"/>
              <w:rPr>
                <w:rFonts w:ascii="宋体" w:hAnsi="宋体" w:cs="宋体"/>
                <w:sz w:val="21"/>
                <w:szCs w:val="21"/>
              </w:rPr>
            </w:pPr>
            <w:r>
              <w:rPr>
                <w:rFonts w:hint="eastAsia" w:ascii="宋体" w:hAnsi="宋体" w:cs="宋体"/>
                <w:sz w:val="21"/>
                <w:szCs w:val="21"/>
              </w:rPr>
              <w:t>土方工程</w:t>
            </w:r>
          </w:p>
        </w:tc>
        <w:tc>
          <w:tcPr>
            <w:tcW w:w="1276" w:type="dxa"/>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402" w:type="dxa"/>
            <w:tcBorders>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5.45</w:t>
            </w:r>
          </w:p>
        </w:tc>
        <w:tc>
          <w:tcPr>
            <w:tcW w:w="703"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w:t>
            </w:r>
          </w:p>
        </w:tc>
        <w:tc>
          <w:tcPr>
            <w:tcW w:w="1317"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农用井工程</w:t>
            </w:r>
          </w:p>
        </w:tc>
        <w:tc>
          <w:tcPr>
            <w:tcW w:w="1095"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292" w:type="dxa"/>
            <w:tcBorders>
              <w:lef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8.45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709" w:type="dxa"/>
            <w:vAlign w:val="center"/>
          </w:tcPr>
          <w:p>
            <w:pPr>
              <w:pStyle w:val="8"/>
              <w:ind w:left="420" w:hanging="420"/>
              <w:jc w:val="center"/>
              <w:rPr>
                <w:rFonts w:ascii="宋体" w:hAnsi="宋体" w:cs="宋体"/>
                <w:sz w:val="21"/>
                <w:szCs w:val="21"/>
              </w:rPr>
            </w:pPr>
            <w:r>
              <w:rPr>
                <w:rFonts w:hint="eastAsia" w:ascii="宋体" w:hAnsi="宋体" w:cs="宋体"/>
                <w:sz w:val="21"/>
                <w:szCs w:val="21"/>
              </w:rPr>
              <w:t>2</w:t>
            </w:r>
          </w:p>
        </w:tc>
        <w:tc>
          <w:tcPr>
            <w:tcW w:w="1275" w:type="dxa"/>
            <w:vAlign w:val="center"/>
          </w:tcPr>
          <w:p>
            <w:pPr>
              <w:pStyle w:val="8"/>
              <w:ind w:left="420" w:hanging="420"/>
              <w:jc w:val="center"/>
              <w:rPr>
                <w:rFonts w:ascii="宋体" w:hAnsi="宋体" w:cs="宋体"/>
                <w:sz w:val="21"/>
                <w:szCs w:val="21"/>
              </w:rPr>
            </w:pPr>
            <w:r>
              <w:rPr>
                <w:rFonts w:hint="eastAsia" w:ascii="宋体" w:hAnsi="宋体" w:cs="宋体"/>
                <w:sz w:val="21"/>
                <w:szCs w:val="21"/>
              </w:rPr>
              <w:t>石方工程</w:t>
            </w:r>
          </w:p>
        </w:tc>
        <w:tc>
          <w:tcPr>
            <w:tcW w:w="1276" w:type="dxa"/>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402" w:type="dxa"/>
            <w:tcBorders>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6.45</w:t>
            </w:r>
          </w:p>
        </w:tc>
        <w:tc>
          <w:tcPr>
            <w:tcW w:w="703"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6</w:t>
            </w:r>
          </w:p>
        </w:tc>
        <w:tc>
          <w:tcPr>
            <w:tcW w:w="1317"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其它工程</w:t>
            </w:r>
          </w:p>
        </w:tc>
        <w:tc>
          <w:tcPr>
            <w:tcW w:w="1095"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292" w:type="dxa"/>
            <w:tcBorders>
              <w:lef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5.45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709" w:type="dxa"/>
            <w:vAlign w:val="center"/>
          </w:tcPr>
          <w:p>
            <w:pPr>
              <w:pStyle w:val="8"/>
              <w:ind w:left="420" w:hanging="420"/>
              <w:jc w:val="center"/>
              <w:rPr>
                <w:rFonts w:ascii="宋体" w:hAnsi="宋体" w:cs="宋体"/>
                <w:sz w:val="21"/>
                <w:szCs w:val="21"/>
              </w:rPr>
            </w:pPr>
            <w:r>
              <w:rPr>
                <w:rFonts w:hint="eastAsia" w:ascii="宋体" w:hAnsi="宋体" w:cs="宋体"/>
                <w:sz w:val="21"/>
                <w:szCs w:val="21"/>
              </w:rPr>
              <w:t>3</w:t>
            </w:r>
          </w:p>
        </w:tc>
        <w:tc>
          <w:tcPr>
            <w:tcW w:w="1275" w:type="dxa"/>
            <w:vAlign w:val="center"/>
          </w:tcPr>
          <w:p>
            <w:pPr>
              <w:pStyle w:val="8"/>
              <w:ind w:left="420" w:hanging="420"/>
              <w:jc w:val="center"/>
              <w:rPr>
                <w:rFonts w:ascii="宋体" w:hAnsi="宋体" w:cs="宋体"/>
                <w:sz w:val="21"/>
                <w:szCs w:val="21"/>
              </w:rPr>
            </w:pPr>
            <w:r>
              <w:rPr>
                <w:rFonts w:hint="eastAsia" w:ascii="宋体" w:hAnsi="宋体" w:cs="宋体"/>
                <w:sz w:val="21"/>
                <w:szCs w:val="21"/>
              </w:rPr>
              <w:t>砌体工程</w:t>
            </w:r>
          </w:p>
        </w:tc>
        <w:tc>
          <w:tcPr>
            <w:tcW w:w="1276" w:type="dxa"/>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402" w:type="dxa"/>
            <w:tcBorders>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5.45</w:t>
            </w:r>
          </w:p>
        </w:tc>
        <w:tc>
          <w:tcPr>
            <w:tcW w:w="703"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7</w:t>
            </w:r>
          </w:p>
        </w:tc>
        <w:tc>
          <w:tcPr>
            <w:tcW w:w="1317"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安装工程</w:t>
            </w:r>
          </w:p>
        </w:tc>
        <w:tc>
          <w:tcPr>
            <w:tcW w:w="1095"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人工费</w:t>
            </w:r>
          </w:p>
        </w:tc>
        <w:tc>
          <w:tcPr>
            <w:tcW w:w="1292" w:type="dxa"/>
            <w:tcBorders>
              <w:lef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6.5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9" w:type="dxa"/>
            <w:vAlign w:val="center"/>
          </w:tcPr>
          <w:p>
            <w:pPr>
              <w:pStyle w:val="8"/>
              <w:ind w:left="420" w:hanging="420"/>
              <w:jc w:val="center"/>
              <w:rPr>
                <w:rFonts w:ascii="宋体" w:hAnsi="宋体" w:cs="宋体"/>
                <w:sz w:val="21"/>
                <w:szCs w:val="21"/>
              </w:rPr>
            </w:pPr>
            <w:r>
              <w:rPr>
                <w:rFonts w:hint="eastAsia" w:ascii="宋体" w:hAnsi="宋体" w:cs="宋体"/>
                <w:sz w:val="21"/>
                <w:szCs w:val="21"/>
              </w:rPr>
              <w:t>4</w:t>
            </w:r>
          </w:p>
        </w:tc>
        <w:tc>
          <w:tcPr>
            <w:tcW w:w="1275" w:type="dxa"/>
            <w:vAlign w:val="center"/>
          </w:tcPr>
          <w:p>
            <w:pPr>
              <w:pStyle w:val="8"/>
              <w:ind w:left="420" w:hanging="420"/>
              <w:jc w:val="center"/>
              <w:rPr>
                <w:rFonts w:ascii="宋体" w:hAnsi="宋体" w:cs="宋体"/>
                <w:sz w:val="21"/>
                <w:szCs w:val="21"/>
              </w:rPr>
            </w:pPr>
            <w:r>
              <w:rPr>
                <w:rFonts w:hint="eastAsia" w:ascii="宋体" w:hAnsi="宋体" w:cs="宋体"/>
                <w:sz w:val="21"/>
                <w:szCs w:val="21"/>
              </w:rPr>
              <w:t>混凝土工程</w:t>
            </w:r>
          </w:p>
        </w:tc>
        <w:tc>
          <w:tcPr>
            <w:tcW w:w="1276" w:type="dxa"/>
            <w:vAlign w:val="center"/>
          </w:tcPr>
          <w:p>
            <w:pPr>
              <w:pStyle w:val="8"/>
              <w:ind w:left="420" w:hanging="420"/>
              <w:jc w:val="center"/>
              <w:rPr>
                <w:rFonts w:ascii="宋体" w:hAnsi="宋体" w:cs="宋体"/>
                <w:sz w:val="21"/>
                <w:szCs w:val="21"/>
              </w:rPr>
            </w:pPr>
            <w:r>
              <w:rPr>
                <w:rFonts w:hint="eastAsia" w:ascii="宋体" w:hAnsi="宋体" w:cs="宋体"/>
                <w:sz w:val="21"/>
                <w:szCs w:val="21"/>
              </w:rPr>
              <w:t>直接费</w:t>
            </w:r>
          </w:p>
        </w:tc>
        <w:tc>
          <w:tcPr>
            <w:tcW w:w="1402" w:type="dxa"/>
            <w:tcBorders>
              <w:right w:val="single" w:color="auto" w:sz="4" w:space="0"/>
            </w:tcBorders>
            <w:vAlign w:val="center"/>
          </w:tcPr>
          <w:p>
            <w:pPr>
              <w:pStyle w:val="8"/>
              <w:ind w:left="420" w:hanging="420"/>
              <w:jc w:val="center"/>
              <w:rPr>
                <w:rFonts w:ascii="宋体" w:hAnsi="宋体" w:cs="宋体"/>
                <w:sz w:val="21"/>
                <w:szCs w:val="21"/>
              </w:rPr>
            </w:pPr>
            <w:r>
              <w:rPr>
                <w:rFonts w:hint="eastAsia" w:ascii="宋体" w:hAnsi="宋体" w:cs="宋体"/>
                <w:sz w:val="21"/>
                <w:szCs w:val="21"/>
              </w:rPr>
              <w:t>6.45</w:t>
            </w:r>
          </w:p>
        </w:tc>
        <w:tc>
          <w:tcPr>
            <w:tcW w:w="703"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p>
        </w:tc>
        <w:tc>
          <w:tcPr>
            <w:tcW w:w="1317"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p>
        </w:tc>
        <w:tc>
          <w:tcPr>
            <w:tcW w:w="1095" w:type="dxa"/>
            <w:tcBorders>
              <w:left w:val="single" w:color="auto" w:sz="4" w:space="0"/>
              <w:right w:val="single" w:color="auto" w:sz="4" w:space="0"/>
            </w:tcBorders>
            <w:vAlign w:val="center"/>
          </w:tcPr>
          <w:p>
            <w:pPr>
              <w:pStyle w:val="8"/>
              <w:ind w:left="420" w:hanging="420"/>
              <w:jc w:val="center"/>
              <w:rPr>
                <w:rFonts w:ascii="宋体" w:hAnsi="宋体" w:cs="宋体"/>
                <w:sz w:val="21"/>
                <w:szCs w:val="21"/>
              </w:rPr>
            </w:pPr>
          </w:p>
        </w:tc>
        <w:tc>
          <w:tcPr>
            <w:tcW w:w="1292" w:type="dxa"/>
            <w:tcBorders>
              <w:left w:val="single" w:color="auto" w:sz="4" w:space="0"/>
            </w:tcBorders>
            <w:vAlign w:val="center"/>
          </w:tcPr>
          <w:p>
            <w:pPr>
              <w:pStyle w:val="8"/>
              <w:ind w:left="420" w:hanging="420"/>
              <w:jc w:val="center"/>
              <w:rPr>
                <w:rFonts w:ascii="宋体" w:hAnsi="宋体" w:cs="宋体"/>
                <w:sz w:val="21"/>
                <w:szCs w:val="21"/>
              </w:rPr>
            </w:pPr>
          </w:p>
        </w:tc>
      </w:tr>
    </w:tbl>
    <w:p>
      <w:pPr>
        <w:spacing w:line="360" w:lineRule="auto"/>
        <w:ind w:firstLine="360" w:firstLineChars="150"/>
        <w:rPr>
          <w:sz w:val="24"/>
        </w:rPr>
      </w:pPr>
      <w:r>
        <w:rPr>
          <w:sz w:val="24"/>
        </w:rPr>
        <w:t>（3）利润</w:t>
      </w:r>
    </w:p>
    <w:p>
      <w:pPr>
        <w:spacing w:line="360" w:lineRule="auto"/>
        <w:ind w:firstLine="360" w:firstLineChars="150"/>
        <w:rPr>
          <w:sz w:val="24"/>
        </w:rPr>
      </w:pPr>
      <w:r>
        <w:rPr>
          <w:sz w:val="24"/>
        </w:rPr>
        <w:t>依据【湘财建〔2014〕22号】及湘财建价[2017]24号文规定，该项目利润率取3.0%，计算基础为直接费和间接费之和。</w:t>
      </w:r>
    </w:p>
    <w:p>
      <w:pPr>
        <w:spacing w:line="360" w:lineRule="auto"/>
        <w:ind w:firstLine="360" w:firstLineChars="150"/>
        <w:rPr>
          <w:sz w:val="24"/>
        </w:rPr>
      </w:pPr>
      <w:r>
        <w:rPr>
          <w:sz w:val="24"/>
        </w:rPr>
        <w:t>（4）税金</w:t>
      </w:r>
    </w:p>
    <w:p>
      <w:pPr>
        <w:spacing w:line="360" w:lineRule="auto"/>
        <w:ind w:firstLine="360" w:firstLineChars="150"/>
        <w:rPr>
          <w:sz w:val="24"/>
        </w:rPr>
      </w:pPr>
      <w:r>
        <w:rPr>
          <w:sz w:val="24"/>
        </w:rPr>
        <w:t>依据【湘财建[2014]22号】和【湘国土资办〔2017〕24号】的规定，指按国家税法规定应计入工程造价内的增值税销项税额，税金＝（直接费+间接费+利润+材料价差+未计价材料费）×9%；该项目税金费率标准为9%，计算基础为直接费、间接费和利润之和。</w:t>
      </w:r>
    </w:p>
    <w:p>
      <w:pPr>
        <w:spacing w:line="360" w:lineRule="auto"/>
        <w:ind w:firstLine="480" w:firstLineChars="200"/>
        <w:rPr>
          <w:sz w:val="24"/>
        </w:rPr>
      </w:pPr>
      <w:r>
        <w:rPr>
          <w:sz w:val="24"/>
        </w:rPr>
        <w:t>2、设备费</w:t>
      </w:r>
    </w:p>
    <w:p>
      <w:pPr>
        <w:spacing w:line="360" w:lineRule="auto"/>
        <w:ind w:firstLine="480"/>
        <w:rPr>
          <w:sz w:val="24"/>
        </w:rPr>
      </w:pPr>
      <w:r>
        <w:rPr>
          <w:sz w:val="24"/>
        </w:rPr>
        <w:t>设备购置费包括设备原价、运杂费、运输保险费和采购及保管费。其计算应依据土地复垦的性质，复垦所需的设备选定。依据“湘国土资发[2017]24号”文：</w:t>
      </w:r>
    </w:p>
    <w:p>
      <w:pPr>
        <w:spacing w:line="360" w:lineRule="auto"/>
        <w:ind w:firstLine="480"/>
        <w:rPr>
          <w:sz w:val="24"/>
        </w:rPr>
      </w:pPr>
      <w:r>
        <w:rPr>
          <w:sz w:val="24"/>
        </w:rPr>
        <w:t>（1）施工机械使用费以不含增值税款的价格计算。折旧费按除以1.17计算，修理及替换设备费按除以1.11计算，安装拆卸费、台班人工费不做调整。</w:t>
      </w:r>
    </w:p>
    <w:p>
      <w:pPr>
        <w:spacing w:line="360" w:lineRule="auto"/>
        <w:ind w:firstLine="480"/>
        <w:rPr>
          <w:sz w:val="24"/>
        </w:rPr>
      </w:pPr>
      <w:r>
        <w:rPr>
          <w:sz w:val="24"/>
        </w:rPr>
        <w:t>（2）土地整治项目设备购置费和其他费用按“价税分离”的原则进行计算，计费基数和费率标准不做调整。</w:t>
      </w:r>
    </w:p>
    <w:p>
      <w:pPr>
        <w:spacing w:line="360" w:lineRule="auto"/>
        <w:ind w:firstLine="480"/>
        <w:rPr>
          <w:sz w:val="24"/>
        </w:rPr>
      </w:pPr>
      <w:r>
        <w:rPr>
          <w:sz w:val="24"/>
        </w:rPr>
        <w:t>3、其它费用</w:t>
      </w:r>
    </w:p>
    <w:p>
      <w:pPr>
        <w:spacing w:line="360" w:lineRule="auto"/>
        <w:ind w:firstLine="480"/>
        <w:rPr>
          <w:sz w:val="24"/>
        </w:rPr>
      </w:pPr>
      <w:r>
        <w:rPr>
          <w:sz w:val="24"/>
        </w:rPr>
        <w:t>包括前期工作费、工程监理费、竣工验收费等。</w:t>
      </w:r>
    </w:p>
    <w:p>
      <w:pPr>
        <w:spacing w:line="360" w:lineRule="auto"/>
        <w:ind w:firstLine="480"/>
        <w:rPr>
          <w:sz w:val="24"/>
        </w:rPr>
      </w:pPr>
      <w:r>
        <w:rPr>
          <w:sz w:val="24"/>
        </w:rPr>
        <w:t>（1）前期工作费</w:t>
      </w:r>
    </w:p>
    <w:p>
      <w:pPr>
        <w:spacing w:line="360" w:lineRule="auto"/>
        <w:ind w:firstLine="480"/>
        <w:rPr>
          <w:sz w:val="24"/>
        </w:rPr>
      </w:pPr>
      <w:r>
        <w:rPr>
          <w:sz w:val="24"/>
        </w:rPr>
        <w:t>指土地开发整理项目在工程施工前所发生的各项支出，包括：土地清查费、项目可行性研究费、项目勘测费、项目设计与概算编制费、项目招标费和重大工程规划编制费等。</w:t>
      </w:r>
    </w:p>
    <w:p>
      <w:pPr>
        <w:spacing w:line="360" w:lineRule="auto"/>
        <w:ind w:firstLine="480"/>
        <w:rPr>
          <w:sz w:val="24"/>
        </w:rPr>
      </w:pPr>
      <w:r>
        <w:rPr>
          <w:sz w:val="24"/>
        </w:rPr>
        <w:t>（2）工程监理费</w:t>
      </w:r>
    </w:p>
    <w:p>
      <w:pPr>
        <w:tabs>
          <w:tab w:val="left" w:pos="720"/>
        </w:tabs>
        <w:spacing w:line="360" w:lineRule="auto"/>
        <w:ind w:firstLine="480"/>
        <w:rPr>
          <w:sz w:val="24"/>
        </w:rPr>
      </w:pPr>
      <w:r>
        <w:rPr>
          <w:sz w:val="24"/>
        </w:rPr>
        <w:t>工程监理费是指委托具有工程监理资质的单位，按国家有关规定对工程质量、进度、安全和投资进行全过程监督与管理所发生的费用。</w:t>
      </w:r>
    </w:p>
    <w:p>
      <w:pPr>
        <w:spacing w:line="360" w:lineRule="auto"/>
        <w:ind w:firstLine="480"/>
        <w:rPr>
          <w:sz w:val="24"/>
        </w:rPr>
      </w:pPr>
      <w:r>
        <w:rPr>
          <w:sz w:val="24"/>
        </w:rPr>
        <w:t>（3）竣工验收费</w:t>
      </w:r>
    </w:p>
    <w:p>
      <w:pPr>
        <w:spacing w:line="360" w:lineRule="auto"/>
        <w:ind w:firstLine="480"/>
        <w:rPr>
          <w:sz w:val="24"/>
        </w:rPr>
      </w:pPr>
      <w:r>
        <w:rPr>
          <w:sz w:val="24"/>
        </w:rPr>
        <w:t>主要包括项目工程验收费、项目决算的编制与审计费，整理后土地的重估与登记费，基本水田补划与标记设定费等。</w:t>
      </w:r>
    </w:p>
    <w:p>
      <w:pPr>
        <w:tabs>
          <w:tab w:val="left" w:pos="720"/>
        </w:tabs>
        <w:spacing w:line="360" w:lineRule="auto"/>
        <w:ind w:firstLine="480"/>
        <w:rPr>
          <w:sz w:val="24"/>
        </w:rPr>
      </w:pPr>
      <w:r>
        <w:rPr>
          <w:sz w:val="24"/>
        </w:rPr>
        <w:t>本项目前期工作费和工程监理费及竣工验收费三项按施工费的</w:t>
      </w:r>
      <w:r>
        <w:rPr>
          <w:rFonts w:hint="eastAsia"/>
          <w:sz w:val="24"/>
        </w:rPr>
        <w:t>**</w:t>
      </w:r>
      <w:r>
        <w:rPr>
          <w:sz w:val="24"/>
        </w:rPr>
        <w:t>%计算，统筹使用。</w:t>
      </w:r>
    </w:p>
    <w:p>
      <w:pPr>
        <w:spacing w:line="360" w:lineRule="auto"/>
        <w:ind w:firstLine="480"/>
        <w:rPr>
          <w:sz w:val="24"/>
        </w:rPr>
      </w:pPr>
      <w:r>
        <w:rPr>
          <w:sz w:val="24"/>
        </w:rPr>
        <w:t>4、不可预见费</w:t>
      </w:r>
    </w:p>
    <w:p>
      <w:pPr>
        <w:spacing w:line="360" w:lineRule="auto"/>
        <w:ind w:firstLine="480"/>
        <w:rPr>
          <w:sz w:val="24"/>
        </w:rPr>
      </w:pPr>
      <w:r>
        <w:rPr>
          <w:sz w:val="24"/>
        </w:rPr>
        <w:t>指在施工过程中因自然灾害、人工、材料、设备、工程量等的变化而增加的费用。依《补充定额标准》规定，不可预见费费率按工程施工费和其他费用之和的10.00%计取。</w:t>
      </w:r>
    </w:p>
    <w:p>
      <w:pPr>
        <w:spacing w:line="360" w:lineRule="auto"/>
        <w:ind w:firstLine="480"/>
        <w:rPr>
          <w:sz w:val="24"/>
        </w:rPr>
      </w:pPr>
      <w:r>
        <w:rPr>
          <w:sz w:val="24"/>
        </w:rPr>
        <w:t>5、监测与管护费用</w:t>
      </w:r>
    </w:p>
    <w:p>
      <w:pPr>
        <w:spacing w:line="360" w:lineRule="auto"/>
        <w:ind w:firstLine="480"/>
        <w:rPr>
          <w:sz w:val="24"/>
        </w:rPr>
      </w:pPr>
      <w:r>
        <w:rPr>
          <w:sz w:val="24"/>
        </w:rPr>
        <w:t>（1）监测费</w:t>
      </w:r>
    </w:p>
    <w:p>
      <w:pPr>
        <w:spacing w:line="360" w:lineRule="auto"/>
        <w:ind w:firstLine="480"/>
        <w:rPr>
          <w:sz w:val="24"/>
        </w:rPr>
      </w:pPr>
      <w:r>
        <w:rPr>
          <w:sz w:val="24"/>
        </w:rPr>
        <w:t>本项目有水质监测、地质灾害监测；不涉及复垦监测。</w:t>
      </w:r>
    </w:p>
    <w:p>
      <w:pPr>
        <w:spacing w:line="360" w:lineRule="auto"/>
        <w:ind w:firstLine="480"/>
        <w:rPr>
          <w:sz w:val="24"/>
        </w:rPr>
      </w:pPr>
      <w:r>
        <w:rPr>
          <w:sz w:val="24"/>
        </w:rPr>
        <w:t>（2）管护费</w:t>
      </w:r>
    </w:p>
    <w:p>
      <w:pPr>
        <w:spacing w:line="360" w:lineRule="auto"/>
        <w:ind w:firstLine="480"/>
        <w:rPr>
          <w:sz w:val="24"/>
        </w:rPr>
      </w:pPr>
      <w:r>
        <w:rPr>
          <w:sz w:val="24"/>
        </w:rPr>
        <w:t>对复垦区林地进行有针对的巡查、补植、除草、施肥绕水、修枝、喷药等管护工作所发生的费用；以保证复垦植被的成活率，从而保证复垦工程达到预期效果。林草地的管护费用按</w:t>
      </w:r>
      <w:r>
        <w:rPr>
          <w:rFonts w:hint="eastAsia"/>
          <w:sz w:val="24"/>
        </w:rPr>
        <w:t>**</w:t>
      </w:r>
      <w:r>
        <w:rPr>
          <w:sz w:val="24"/>
        </w:rPr>
        <w:t>元/m</w:t>
      </w:r>
      <w:r>
        <w:rPr>
          <w:sz w:val="24"/>
          <w:vertAlign w:val="superscript"/>
        </w:rPr>
        <w:t>2</w:t>
      </w:r>
      <w:r>
        <w:rPr>
          <w:sz w:val="24"/>
        </w:rPr>
        <w:t>.a计取，一般林草地管护期为3a。</w:t>
      </w:r>
    </w:p>
    <w:p>
      <w:pPr>
        <w:spacing w:line="360" w:lineRule="auto"/>
        <w:ind w:firstLine="480"/>
        <w:rPr>
          <w:sz w:val="24"/>
        </w:rPr>
      </w:pPr>
      <w:r>
        <w:rPr>
          <w:sz w:val="24"/>
        </w:rPr>
        <w:t>6、分项工程施工费单价</w:t>
      </w:r>
    </w:p>
    <w:p>
      <w:pPr>
        <w:spacing w:line="360" w:lineRule="auto"/>
        <w:ind w:firstLine="480"/>
        <w:rPr>
          <w:sz w:val="24"/>
        </w:rPr>
      </w:pPr>
      <w:r>
        <w:rPr>
          <w:sz w:val="24"/>
        </w:rPr>
        <w:t>以各单位分项工程为基础，在计算人工、用材量、施工机械台时量后，分别按人工预算单价、材料估算单价、施工机械台时费计算出直接工程费，再根据不同工程类别措施费费率、间接费费率、利润率和税金率，计算出各分项工程施工单价。</w:t>
      </w:r>
    </w:p>
    <w:p>
      <w:pPr>
        <w:spacing w:line="360" w:lineRule="auto"/>
        <w:ind w:firstLine="480"/>
        <w:rPr>
          <w:sz w:val="24"/>
        </w:rPr>
      </w:pPr>
      <w:r>
        <w:rPr>
          <w:sz w:val="24"/>
        </w:rPr>
        <w:t>7、水质监测费用</w:t>
      </w:r>
    </w:p>
    <w:p>
      <w:pPr>
        <w:spacing w:line="360" w:lineRule="auto"/>
        <w:ind w:firstLine="480"/>
        <w:rPr>
          <w:sz w:val="24"/>
        </w:rPr>
      </w:pPr>
      <w:r>
        <w:rPr>
          <w:sz w:val="24"/>
        </w:rPr>
        <w:t>根据市场价按</w:t>
      </w:r>
      <w:r>
        <w:rPr>
          <w:rFonts w:hint="eastAsia"/>
          <w:sz w:val="24"/>
        </w:rPr>
        <w:t>****</w:t>
      </w:r>
      <w:r>
        <w:rPr>
          <w:sz w:val="24"/>
        </w:rPr>
        <w:t>元/组计算。</w:t>
      </w:r>
    </w:p>
    <w:p>
      <w:pPr>
        <w:spacing w:line="360" w:lineRule="auto"/>
        <w:ind w:firstLine="480"/>
        <w:rPr>
          <w:sz w:val="24"/>
        </w:rPr>
      </w:pPr>
      <w:r>
        <w:rPr>
          <w:sz w:val="24"/>
        </w:rPr>
        <w:t>（3）施工机械单价</w:t>
      </w:r>
    </w:p>
    <w:p>
      <w:pPr>
        <w:spacing w:line="360" w:lineRule="auto"/>
        <w:ind w:firstLine="480"/>
        <w:rPr>
          <w:sz w:val="24"/>
        </w:rPr>
      </w:pPr>
      <w:r>
        <w:rPr>
          <w:sz w:val="24"/>
        </w:rPr>
        <w:t xml:space="preserve">按《湖南省土地开发整理项目施工机械台班定额》计算，施工机械以不含增值税款的价格计算。折旧费按除以 </w:t>
      </w:r>
      <w:r>
        <w:rPr>
          <w:rFonts w:hint="eastAsia"/>
          <w:sz w:val="24"/>
        </w:rPr>
        <w:t>***</w:t>
      </w:r>
      <w:r>
        <w:rPr>
          <w:sz w:val="24"/>
        </w:rPr>
        <w:t xml:space="preserve">计算，修理及替换设备费按除以 </w:t>
      </w:r>
      <w:r>
        <w:rPr>
          <w:rFonts w:hint="eastAsia"/>
          <w:sz w:val="24"/>
        </w:rPr>
        <w:t>***</w:t>
      </w:r>
      <w:r>
        <w:rPr>
          <w:sz w:val="24"/>
        </w:rPr>
        <w:t xml:space="preserve"> 计算，安装拆卸费、台班人工费不做调整。按《湖南省土地开发整理项目施工机械台班费定额》计算，见表5-5。</w:t>
      </w: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表5-5    机械台班单价表</w:t>
      </w:r>
    </w:p>
    <w:tbl>
      <w:tblPr>
        <w:tblStyle w:val="34"/>
        <w:tblW w:w="9493" w:type="dxa"/>
        <w:jc w:val="center"/>
        <w:tblLayout w:type="fixed"/>
        <w:tblCellMar>
          <w:top w:w="0" w:type="dxa"/>
          <w:left w:w="57" w:type="dxa"/>
          <w:bottom w:w="0" w:type="dxa"/>
          <w:right w:w="57" w:type="dxa"/>
        </w:tblCellMar>
      </w:tblPr>
      <w:tblGrid>
        <w:gridCol w:w="711"/>
        <w:gridCol w:w="1679"/>
        <w:gridCol w:w="983"/>
        <w:gridCol w:w="983"/>
        <w:gridCol w:w="983"/>
        <w:gridCol w:w="983"/>
        <w:gridCol w:w="741"/>
        <w:gridCol w:w="729"/>
        <w:gridCol w:w="708"/>
        <w:gridCol w:w="993"/>
      </w:tblGrid>
      <w:tr>
        <w:tblPrEx>
          <w:tblCellMar>
            <w:top w:w="0" w:type="dxa"/>
            <w:left w:w="57" w:type="dxa"/>
            <w:bottom w:w="0" w:type="dxa"/>
            <w:right w:w="57" w:type="dxa"/>
          </w:tblCellMar>
        </w:tblPrEx>
        <w:trPr>
          <w:trHeight w:val="329" w:hRule="atLeast"/>
          <w:jc w:val="center"/>
        </w:trPr>
        <w:tc>
          <w:tcPr>
            <w:tcW w:w="711" w:type="dxa"/>
            <w:vMerge w:val="restart"/>
            <w:tcBorders>
              <w:top w:val="single" w:color="auto" w:sz="4" w:space="0"/>
              <w:left w:val="single" w:color="auto" w:sz="4" w:space="0"/>
              <w:bottom w:val="nil"/>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编号</w:t>
            </w:r>
          </w:p>
        </w:tc>
        <w:tc>
          <w:tcPr>
            <w:tcW w:w="1679" w:type="dxa"/>
            <w:vMerge w:val="restart"/>
            <w:tcBorders>
              <w:top w:val="single" w:color="auto" w:sz="4" w:space="0"/>
              <w:left w:val="single" w:color="auto" w:sz="4" w:space="0"/>
              <w:bottom w:val="nil"/>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机型规格</w:t>
            </w:r>
          </w:p>
        </w:tc>
        <w:tc>
          <w:tcPr>
            <w:tcW w:w="7103" w:type="dxa"/>
            <w:gridSpan w:val="8"/>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费用构成</w:t>
            </w:r>
          </w:p>
        </w:tc>
      </w:tr>
      <w:tr>
        <w:tblPrEx>
          <w:tblCellMar>
            <w:top w:w="0" w:type="dxa"/>
            <w:left w:w="57" w:type="dxa"/>
            <w:bottom w:w="0" w:type="dxa"/>
            <w:right w:w="57" w:type="dxa"/>
          </w:tblCellMar>
        </w:tblPrEx>
        <w:trPr>
          <w:trHeight w:val="332" w:hRule="atLeast"/>
          <w:jc w:val="center"/>
        </w:trPr>
        <w:tc>
          <w:tcPr>
            <w:tcW w:w="711" w:type="dxa"/>
            <w:vMerge w:val="continue"/>
            <w:tcBorders>
              <w:top w:val="nil"/>
              <w:left w:val="single" w:color="auto" w:sz="4" w:space="0"/>
              <w:bottom w:val="nil"/>
              <w:right w:val="single" w:color="auto" w:sz="4" w:space="0"/>
            </w:tcBorders>
            <w:vAlign w:val="center"/>
          </w:tcPr>
          <w:p>
            <w:pPr>
              <w:adjustRightInd w:val="0"/>
              <w:snapToGrid w:val="0"/>
              <w:spacing w:before="100" w:beforeAutospacing="1" w:after="100" w:afterAutospacing="1"/>
              <w:rPr>
                <w:szCs w:val="21"/>
              </w:rPr>
            </w:pPr>
          </w:p>
        </w:tc>
        <w:tc>
          <w:tcPr>
            <w:tcW w:w="1679" w:type="dxa"/>
            <w:vMerge w:val="continue"/>
            <w:tcBorders>
              <w:top w:val="nil"/>
              <w:left w:val="single" w:color="auto" w:sz="4" w:space="0"/>
              <w:bottom w:val="nil"/>
              <w:right w:val="single" w:color="auto" w:sz="4" w:space="0"/>
            </w:tcBorders>
            <w:vAlign w:val="center"/>
          </w:tcPr>
          <w:p>
            <w:pPr>
              <w:adjustRightInd w:val="0"/>
              <w:snapToGrid w:val="0"/>
              <w:spacing w:before="100" w:beforeAutospacing="1" w:after="100" w:afterAutospacing="1"/>
              <w:rPr>
                <w:szCs w:val="21"/>
              </w:rPr>
            </w:pPr>
          </w:p>
        </w:tc>
        <w:tc>
          <w:tcPr>
            <w:tcW w:w="3932" w:type="dxa"/>
            <w:gridSpan w:val="4"/>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（一）</w:t>
            </w:r>
          </w:p>
        </w:tc>
        <w:tc>
          <w:tcPr>
            <w:tcW w:w="2178" w:type="dxa"/>
            <w:gridSpan w:val="3"/>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（二）</w:t>
            </w: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（三）</w:t>
            </w:r>
          </w:p>
        </w:tc>
      </w:tr>
      <w:tr>
        <w:tblPrEx>
          <w:tblCellMar>
            <w:top w:w="0" w:type="dxa"/>
            <w:left w:w="57" w:type="dxa"/>
            <w:bottom w:w="0" w:type="dxa"/>
            <w:right w:w="57" w:type="dxa"/>
          </w:tblCellMar>
        </w:tblPrEx>
        <w:trPr>
          <w:trHeight w:val="495" w:hRule="atLeast"/>
          <w:jc w:val="center"/>
        </w:trPr>
        <w:tc>
          <w:tcPr>
            <w:tcW w:w="711" w:type="dxa"/>
            <w:vMerge w:val="continue"/>
            <w:tcBorders>
              <w:top w:val="nil"/>
              <w:left w:val="single" w:color="auto" w:sz="4" w:space="0"/>
              <w:bottom w:val="nil"/>
              <w:right w:val="single" w:color="auto" w:sz="4" w:space="0"/>
            </w:tcBorders>
            <w:vAlign w:val="center"/>
          </w:tcPr>
          <w:p>
            <w:pPr>
              <w:adjustRightInd w:val="0"/>
              <w:snapToGrid w:val="0"/>
              <w:spacing w:before="100" w:beforeAutospacing="1" w:after="100" w:afterAutospacing="1"/>
              <w:rPr>
                <w:szCs w:val="21"/>
              </w:rPr>
            </w:pPr>
          </w:p>
        </w:tc>
        <w:tc>
          <w:tcPr>
            <w:tcW w:w="1679" w:type="dxa"/>
            <w:vMerge w:val="continue"/>
            <w:tcBorders>
              <w:top w:val="nil"/>
              <w:left w:val="single" w:color="auto" w:sz="4" w:space="0"/>
              <w:bottom w:val="nil"/>
              <w:right w:val="single" w:color="auto" w:sz="4" w:space="0"/>
            </w:tcBorders>
            <w:vAlign w:val="center"/>
          </w:tcPr>
          <w:p>
            <w:pPr>
              <w:adjustRightInd w:val="0"/>
              <w:snapToGrid w:val="0"/>
              <w:spacing w:before="100" w:beforeAutospacing="1" w:after="100" w:afterAutospacing="1"/>
              <w:rPr>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折旧费</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修理及</w:t>
            </w:r>
          </w:p>
          <w:p>
            <w:pPr>
              <w:pStyle w:val="66"/>
              <w:adjustRightInd w:val="0"/>
              <w:snapToGrid w:val="0"/>
              <w:spacing w:beforeLines="0" w:afterLines="0"/>
              <w:outlineLvl w:val="9"/>
              <w:rPr>
                <w:b w:val="0"/>
                <w:sz w:val="21"/>
                <w:szCs w:val="21"/>
              </w:rPr>
            </w:pPr>
            <w:r>
              <w:rPr>
                <w:b w:val="0"/>
                <w:sz w:val="21"/>
                <w:szCs w:val="21"/>
              </w:rPr>
              <w:t>替换费</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安装</w:t>
            </w:r>
          </w:p>
          <w:p>
            <w:pPr>
              <w:pStyle w:val="66"/>
              <w:adjustRightInd w:val="0"/>
              <w:snapToGrid w:val="0"/>
              <w:spacing w:beforeLines="0" w:afterLines="0"/>
              <w:outlineLvl w:val="9"/>
              <w:rPr>
                <w:b w:val="0"/>
                <w:sz w:val="21"/>
                <w:szCs w:val="21"/>
              </w:rPr>
            </w:pPr>
            <w:r>
              <w:rPr>
                <w:b w:val="0"/>
                <w:sz w:val="21"/>
                <w:szCs w:val="21"/>
              </w:rPr>
              <w:t>拆卸费</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小计</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人工</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柴油</w:t>
            </w:r>
          </w:p>
        </w:tc>
        <w:tc>
          <w:tcPr>
            <w:tcW w:w="708"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电</w:t>
            </w:r>
          </w:p>
        </w:tc>
        <w:tc>
          <w:tcPr>
            <w:tcW w:w="993" w:type="dxa"/>
            <w:tcBorders>
              <w:top w:val="single" w:color="auto" w:sz="4" w:space="0"/>
              <w:left w:val="single" w:color="auto" w:sz="4" w:space="0"/>
              <w:bottom w:val="single" w:color="auto" w:sz="4" w:space="0"/>
              <w:right w:val="single" w:color="auto" w:sz="4" w:space="0"/>
            </w:tcBorders>
            <w:vAlign w:val="center"/>
          </w:tcPr>
          <w:p>
            <w:pPr>
              <w:pStyle w:val="66"/>
              <w:adjustRightInd w:val="0"/>
              <w:snapToGrid w:val="0"/>
              <w:spacing w:beforeLines="0" w:afterLines="0"/>
              <w:outlineLvl w:val="9"/>
              <w:rPr>
                <w:b w:val="0"/>
                <w:sz w:val="21"/>
                <w:szCs w:val="21"/>
              </w:rPr>
            </w:pPr>
            <w:r>
              <w:rPr>
                <w:b w:val="0"/>
                <w:sz w:val="21"/>
                <w:szCs w:val="21"/>
              </w:rPr>
              <w:t>台班费</w:t>
            </w:r>
          </w:p>
        </w:tc>
      </w:tr>
      <w:tr>
        <w:tblPrEx>
          <w:tblCellMar>
            <w:top w:w="0" w:type="dxa"/>
            <w:left w:w="57" w:type="dxa"/>
            <w:bottom w:w="0" w:type="dxa"/>
            <w:right w:w="57" w:type="dxa"/>
          </w:tblCellMar>
        </w:tblPrEx>
        <w:trPr>
          <w:trHeight w:val="356" w:hRule="atLeast"/>
          <w:jc w:val="center"/>
        </w:trPr>
        <w:tc>
          <w:tcPr>
            <w:tcW w:w="711" w:type="dxa"/>
            <w:vMerge w:val="continue"/>
            <w:tcBorders>
              <w:top w:val="nil"/>
              <w:left w:val="single" w:color="auto" w:sz="4" w:space="0"/>
              <w:bottom w:val="single" w:color="auto" w:sz="4" w:space="0"/>
              <w:right w:val="single" w:color="auto" w:sz="4" w:space="0"/>
            </w:tcBorders>
            <w:vAlign w:val="center"/>
          </w:tcPr>
          <w:p>
            <w:pPr>
              <w:adjustRightInd w:val="0"/>
              <w:snapToGrid w:val="0"/>
              <w:spacing w:before="100" w:beforeAutospacing="1" w:after="100" w:afterAutospacing="1"/>
              <w:rPr>
                <w:szCs w:val="21"/>
              </w:rPr>
            </w:pPr>
          </w:p>
        </w:tc>
        <w:tc>
          <w:tcPr>
            <w:tcW w:w="1679" w:type="dxa"/>
            <w:vMerge w:val="continue"/>
            <w:tcBorders>
              <w:top w:val="nil"/>
              <w:left w:val="single" w:color="auto" w:sz="4" w:space="0"/>
              <w:bottom w:val="single" w:color="auto" w:sz="4" w:space="0"/>
              <w:right w:val="single" w:color="auto" w:sz="4" w:space="0"/>
            </w:tcBorders>
            <w:vAlign w:val="center"/>
          </w:tcPr>
          <w:p>
            <w:pPr>
              <w:adjustRightInd w:val="0"/>
              <w:snapToGrid w:val="0"/>
              <w:spacing w:before="100" w:beforeAutospacing="1" w:after="100" w:afterAutospacing="1"/>
              <w:rPr>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元</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元</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元</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元</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工日</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Kg</w:t>
            </w: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Kwh</w:t>
            </w: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元</w:t>
            </w:r>
          </w:p>
        </w:tc>
      </w:tr>
      <w:tr>
        <w:tblPrEx>
          <w:tblCellMar>
            <w:top w:w="0" w:type="dxa"/>
            <w:left w:w="57" w:type="dxa"/>
            <w:bottom w:w="0" w:type="dxa"/>
            <w:right w:w="57" w:type="dxa"/>
          </w:tblCellMar>
        </w:tblPrEx>
        <w:trPr>
          <w:trHeight w:val="43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1008</w:t>
            </w:r>
          </w:p>
        </w:tc>
        <w:tc>
          <w:tcPr>
            <w:tcW w:w="167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jc w:val="left"/>
              <w:outlineLvl w:val="9"/>
              <w:rPr>
                <w:b w:val="0"/>
                <w:sz w:val="21"/>
                <w:szCs w:val="21"/>
              </w:rPr>
            </w:pPr>
            <w:r>
              <w:rPr>
                <w:b w:val="0"/>
                <w:sz w:val="21"/>
                <w:szCs w:val="21"/>
              </w:rPr>
              <w:t>装载机1m³</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98.21</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48</w:t>
            </w: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6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5013</w:t>
            </w:r>
          </w:p>
        </w:tc>
        <w:tc>
          <w:tcPr>
            <w:tcW w:w="167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jc w:val="left"/>
              <w:outlineLvl w:val="9"/>
              <w:rPr>
                <w:b w:val="0"/>
                <w:sz w:val="21"/>
                <w:szCs w:val="21"/>
              </w:rPr>
            </w:pPr>
            <w:r>
              <w:rPr>
                <w:b w:val="0"/>
                <w:sz w:val="21"/>
                <w:szCs w:val="21"/>
              </w:rPr>
              <w:t>卷扬机5t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0.14</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12.14</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29</w:t>
            </w: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58"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5018</w:t>
            </w:r>
          </w:p>
        </w:tc>
        <w:tc>
          <w:tcPr>
            <w:tcW w:w="167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jc w:val="left"/>
              <w:outlineLvl w:val="9"/>
              <w:rPr>
                <w:b w:val="0"/>
                <w:sz w:val="21"/>
                <w:szCs w:val="21"/>
              </w:rPr>
            </w:pPr>
            <w:r>
              <w:rPr>
                <w:b w:val="0"/>
                <w:sz w:val="21"/>
                <w:szCs w:val="21"/>
              </w:rPr>
              <w:t>电动葫芦3t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0</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7.03</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0</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18</w:t>
            </w: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58"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1020</w:t>
            </w:r>
          </w:p>
        </w:tc>
        <w:tc>
          <w:tcPr>
            <w:tcW w:w="167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jc w:val="left"/>
              <w:outlineLvl w:val="9"/>
              <w:rPr>
                <w:b w:val="0"/>
                <w:sz w:val="21"/>
                <w:szCs w:val="21"/>
              </w:rPr>
            </w:pPr>
            <w:r>
              <w:rPr>
                <w:b w:val="0"/>
                <w:sz w:val="21"/>
                <w:szCs w:val="21"/>
              </w:rPr>
              <w:t>拖拉机55Kw</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1.79</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70.12</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43</w:t>
            </w: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58"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1004</w:t>
            </w:r>
          </w:p>
        </w:tc>
        <w:tc>
          <w:tcPr>
            <w:tcW w:w="1679" w:type="dxa"/>
            <w:tcBorders>
              <w:top w:val="single" w:color="auto" w:sz="4" w:space="0"/>
              <w:left w:val="single" w:color="auto" w:sz="4" w:space="0"/>
              <w:bottom w:val="single" w:color="auto" w:sz="4" w:space="0"/>
              <w:right w:val="single" w:color="auto" w:sz="4" w:space="0"/>
            </w:tcBorders>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挖掘机1m³</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13.39</w:t>
            </w:r>
          </w:p>
        </w:tc>
        <w:tc>
          <w:tcPr>
            <w:tcW w:w="98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741"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b w:val="0"/>
                <w:sz w:val="21"/>
                <w:szCs w:val="21"/>
              </w:rPr>
              <w:t>72</w:t>
            </w:r>
          </w:p>
        </w:tc>
        <w:tc>
          <w:tcPr>
            <w:tcW w:w="708"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32"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1014</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推土机59Kw</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1.52</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75.46</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44</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290"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4012</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自卸汽车8t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47</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298"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3002</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混凝土搅拌机0.4m³</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6.85</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62.11</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50</w:t>
            </w: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281"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4040</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双胶轮车</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3.22</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24"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1049</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三铧犁</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11.37</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28"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1021</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拖拉机59KW</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2.82</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98.40</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55</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3005</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混凝土振捣器2.2Kw</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14.40</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12</w:t>
            </w: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26"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1012</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推土机55Kw</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1.37</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69.85</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40</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30"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1038</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压路机8-10t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62.11</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27</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r>
        <w:tblPrEx>
          <w:tblCellMar>
            <w:top w:w="0" w:type="dxa"/>
            <w:left w:w="57" w:type="dxa"/>
            <w:bottom w:w="0" w:type="dxa"/>
            <w:right w:w="57" w:type="dxa"/>
          </w:tblCellMar>
        </w:tblPrEx>
        <w:trPr>
          <w:trHeight w:val="334" w:hRule="atLeast"/>
          <w:jc w:val="center"/>
        </w:trPr>
        <w:tc>
          <w:tcPr>
            <w:tcW w:w="71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5010</w:t>
            </w:r>
          </w:p>
        </w:tc>
        <w:tc>
          <w:tcPr>
            <w:tcW w:w="167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8"/>
              <w:adjustRightInd w:val="0"/>
              <w:snapToGrid w:val="0"/>
              <w:spacing w:before="100" w:beforeAutospacing="1" w:after="100" w:afterAutospacing="1"/>
              <w:ind w:left="0"/>
              <w:rPr>
                <w:rFonts w:ascii="Times New Roman" w:hAnsi="Times New Roman"/>
                <w:sz w:val="21"/>
                <w:szCs w:val="21"/>
              </w:rPr>
            </w:pPr>
            <w:r>
              <w:rPr>
                <w:rFonts w:ascii="Times New Roman" w:hAnsi="Times New Roman"/>
                <w:sz w:val="21"/>
                <w:szCs w:val="21"/>
              </w:rPr>
              <w:t>汽车起重机</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8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c>
          <w:tcPr>
            <w:tcW w:w="741"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2</w:t>
            </w:r>
          </w:p>
        </w:tc>
        <w:tc>
          <w:tcPr>
            <w:tcW w:w="729"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b w:val="0"/>
                <w:sz w:val="21"/>
                <w:szCs w:val="21"/>
              </w:rPr>
              <w:t>40</w:t>
            </w:r>
          </w:p>
        </w:tc>
        <w:tc>
          <w:tcPr>
            <w:tcW w:w="708"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p>
        </w:tc>
        <w:tc>
          <w:tcPr>
            <w:tcW w:w="993" w:type="dxa"/>
            <w:tcBorders>
              <w:top w:val="single" w:color="auto" w:sz="4"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66"/>
              <w:snapToGrid w:val="0"/>
              <w:spacing w:beforeLines="0" w:beforeAutospacing="1" w:afterLines="0" w:afterAutospacing="1"/>
              <w:outlineLvl w:val="9"/>
              <w:rPr>
                <w:b w:val="0"/>
                <w:sz w:val="21"/>
                <w:szCs w:val="21"/>
              </w:rPr>
            </w:pPr>
            <w:r>
              <w:rPr>
                <w:rFonts w:hint="eastAsia"/>
                <w:b w:val="0"/>
                <w:sz w:val="21"/>
                <w:szCs w:val="21"/>
              </w:rPr>
              <w:t>****</w:t>
            </w:r>
          </w:p>
        </w:tc>
      </w:tr>
    </w:tbl>
    <w:p>
      <w:pPr>
        <w:spacing w:line="360" w:lineRule="auto"/>
        <w:ind w:firstLine="480"/>
        <w:rPr>
          <w:sz w:val="24"/>
        </w:rPr>
      </w:pPr>
      <w:r>
        <w:rPr>
          <w:sz w:val="24"/>
        </w:rPr>
        <w:t>（4）材料预算价格按以下方式调整</w:t>
      </w:r>
    </w:p>
    <w:p>
      <w:pPr>
        <w:spacing w:line="360" w:lineRule="auto"/>
        <w:ind w:firstLine="480"/>
        <w:rPr>
          <w:sz w:val="24"/>
        </w:rPr>
      </w:pPr>
      <w:r>
        <w:rPr>
          <w:sz w:val="24"/>
        </w:rPr>
        <w:t>依据“湘国土资发[2017]24号”文：</w:t>
      </w:r>
    </w:p>
    <w:p>
      <w:pPr>
        <w:spacing w:line="360" w:lineRule="auto"/>
        <w:ind w:firstLine="480"/>
        <w:rPr>
          <w:sz w:val="24"/>
        </w:rPr>
      </w:pPr>
      <w:r>
        <w:rPr>
          <w:rFonts w:hint="eastAsia" w:ascii="宋体" w:hAnsi="宋体" w:cs="宋体"/>
          <w:sz w:val="24"/>
        </w:rPr>
        <w:t>①</w:t>
      </w:r>
      <w:r>
        <w:rPr>
          <w:sz w:val="24"/>
        </w:rPr>
        <w:t>材料预算价格组成内容中，材料原价、包装费、运输保险费、运杂费和采购及保管费分别按不含增值税可抵扣进项税额的价格确定，材料采购及保管费费率调整为2.17%。《定额标准》中主要材料限价标准为不含增值税的限价；</w:t>
      </w:r>
    </w:p>
    <w:p>
      <w:pPr>
        <w:spacing w:line="360" w:lineRule="auto"/>
        <w:ind w:firstLine="480"/>
        <w:rPr>
          <w:sz w:val="24"/>
        </w:rPr>
      </w:pPr>
      <w:r>
        <w:rPr>
          <w:rFonts w:hint="eastAsia" w:ascii="宋体" w:hAnsi="宋体" w:cs="宋体"/>
          <w:sz w:val="24"/>
        </w:rPr>
        <w:t>②</w:t>
      </w:r>
      <w:r>
        <w:rPr>
          <w:sz w:val="24"/>
        </w:rPr>
        <w:t>材料预算价格=材料含税价格/（1+综合税率）。建设造价管理部门发布的材料预算价格中注明了增值税综合税率的，按该税率执行。未注明增值税综合税率的，综合税率按表</w:t>
      </w:r>
      <w:r>
        <w:rPr>
          <w:rFonts w:hint="eastAsia"/>
          <w:sz w:val="24"/>
        </w:rPr>
        <w:t>5-6</w:t>
      </w:r>
      <w:r>
        <w:rPr>
          <w:sz w:val="24"/>
        </w:rPr>
        <w:t>执行：</w:t>
      </w: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表5-6    增值税条件下材料综合税率表</w:t>
      </w:r>
    </w:p>
    <w:tbl>
      <w:tblPr>
        <w:tblStyle w:val="3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5040"/>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Align w:val="center"/>
          </w:tcPr>
          <w:p>
            <w:pPr>
              <w:jc w:val="center"/>
              <w:rPr>
                <w:kern w:val="0"/>
                <w:sz w:val="20"/>
                <w:szCs w:val="21"/>
              </w:rPr>
            </w:pPr>
            <w:r>
              <w:rPr>
                <w:kern w:val="0"/>
                <w:szCs w:val="21"/>
              </w:rPr>
              <w:t>序号</w:t>
            </w:r>
          </w:p>
        </w:tc>
        <w:tc>
          <w:tcPr>
            <w:tcW w:w="5040" w:type="dxa"/>
            <w:vAlign w:val="center"/>
          </w:tcPr>
          <w:p>
            <w:pPr>
              <w:jc w:val="center"/>
              <w:rPr>
                <w:kern w:val="0"/>
                <w:sz w:val="20"/>
                <w:szCs w:val="21"/>
              </w:rPr>
            </w:pPr>
            <w:r>
              <w:rPr>
                <w:kern w:val="0"/>
                <w:szCs w:val="21"/>
              </w:rPr>
              <w:t>材料种类</w:t>
            </w:r>
          </w:p>
        </w:tc>
        <w:tc>
          <w:tcPr>
            <w:tcW w:w="2579" w:type="dxa"/>
            <w:vAlign w:val="center"/>
          </w:tcPr>
          <w:p>
            <w:pPr>
              <w:jc w:val="center"/>
              <w:rPr>
                <w:kern w:val="0"/>
                <w:sz w:val="20"/>
                <w:szCs w:val="21"/>
              </w:rPr>
            </w:pPr>
            <w:r>
              <w:rPr>
                <w:kern w:val="0"/>
                <w:szCs w:val="21"/>
              </w:rPr>
              <w:t>综合税率（%）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Align w:val="center"/>
          </w:tcPr>
          <w:p>
            <w:pPr>
              <w:jc w:val="center"/>
              <w:rPr>
                <w:kern w:val="0"/>
                <w:sz w:val="20"/>
                <w:szCs w:val="21"/>
              </w:rPr>
            </w:pPr>
            <w:r>
              <w:rPr>
                <w:kern w:val="0"/>
                <w:szCs w:val="21"/>
              </w:rPr>
              <w:t>1</w:t>
            </w:r>
          </w:p>
        </w:tc>
        <w:tc>
          <w:tcPr>
            <w:tcW w:w="5040" w:type="dxa"/>
            <w:vAlign w:val="center"/>
          </w:tcPr>
          <w:p>
            <w:pPr>
              <w:jc w:val="center"/>
              <w:rPr>
                <w:kern w:val="0"/>
                <w:sz w:val="20"/>
                <w:szCs w:val="21"/>
              </w:rPr>
            </w:pPr>
            <w:r>
              <w:rPr>
                <w:kern w:val="0"/>
                <w:szCs w:val="21"/>
              </w:rPr>
              <w:t>砂、石子、水泥为原料的普通及轻骨料商品混凝土</w:t>
            </w:r>
          </w:p>
        </w:tc>
        <w:tc>
          <w:tcPr>
            <w:tcW w:w="2579" w:type="dxa"/>
            <w:vAlign w:val="center"/>
          </w:tcPr>
          <w:p>
            <w:pPr>
              <w:jc w:val="center"/>
              <w:rPr>
                <w:kern w:val="0"/>
                <w:sz w:val="20"/>
                <w:szCs w:val="21"/>
              </w:rPr>
            </w:pPr>
            <w:r>
              <w:rPr>
                <w:kern w:val="0"/>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Align w:val="center"/>
          </w:tcPr>
          <w:p>
            <w:pPr>
              <w:jc w:val="center"/>
              <w:rPr>
                <w:kern w:val="0"/>
                <w:sz w:val="20"/>
                <w:szCs w:val="21"/>
              </w:rPr>
            </w:pPr>
            <w:r>
              <w:rPr>
                <w:kern w:val="0"/>
                <w:szCs w:val="21"/>
              </w:rPr>
              <w:t>2</w:t>
            </w:r>
          </w:p>
        </w:tc>
        <w:tc>
          <w:tcPr>
            <w:tcW w:w="5040" w:type="dxa"/>
            <w:vAlign w:val="center"/>
          </w:tcPr>
          <w:p>
            <w:pPr>
              <w:jc w:val="center"/>
              <w:rPr>
                <w:kern w:val="0"/>
                <w:sz w:val="20"/>
                <w:szCs w:val="21"/>
              </w:rPr>
            </w:pPr>
            <w:r>
              <w:rPr>
                <w:kern w:val="0"/>
                <w:szCs w:val="21"/>
              </w:rPr>
              <w:t>园林苗木</w:t>
            </w:r>
          </w:p>
        </w:tc>
        <w:tc>
          <w:tcPr>
            <w:tcW w:w="2579" w:type="dxa"/>
            <w:vAlign w:val="center"/>
          </w:tcPr>
          <w:p>
            <w:pPr>
              <w:jc w:val="center"/>
              <w:rPr>
                <w:kern w:val="0"/>
                <w:sz w:val="20"/>
                <w:szCs w:val="21"/>
              </w:rPr>
            </w:pPr>
            <w:r>
              <w:rPr>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Merge w:val="restart"/>
            <w:vAlign w:val="center"/>
          </w:tcPr>
          <w:p>
            <w:pPr>
              <w:jc w:val="center"/>
              <w:rPr>
                <w:kern w:val="0"/>
                <w:sz w:val="20"/>
                <w:szCs w:val="21"/>
              </w:rPr>
            </w:pPr>
            <w:r>
              <w:rPr>
                <w:kern w:val="0"/>
                <w:szCs w:val="21"/>
              </w:rPr>
              <w:t>3</w:t>
            </w:r>
          </w:p>
        </w:tc>
        <w:tc>
          <w:tcPr>
            <w:tcW w:w="5040" w:type="dxa"/>
            <w:vAlign w:val="center"/>
          </w:tcPr>
          <w:p>
            <w:pPr>
              <w:jc w:val="center"/>
              <w:rPr>
                <w:kern w:val="0"/>
                <w:sz w:val="20"/>
                <w:szCs w:val="21"/>
              </w:rPr>
            </w:pPr>
            <w:r>
              <w:rPr>
                <w:kern w:val="0"/>
                <w:szCs w:val="21"/>
              </w:rPr>
              <w:t>水泥、砖、瓦、灰及混凝土制品</w:t>
            </w:r>
          </w:p>
        </w:tc>
        <w:tc>
          <w:tcPr>
            <w:tcW w:w="2579" w:type="dxa"/>
            <w:vAlign w:val="center"/>
          </w:tcPr>
          <w:p>
            <w:pPr>
              <w:jc w:val="center"/>
              <w:rPr>
                <w:kern w:val="0"/>
                <w:sz w:val="20"/>
                <w:szCs w:val="21"/>
              </w:rPr>
            </w:pPr>
            <w:r>
              <w:rPr>
                <w:kern w:val="0"/>
                <w:szCs w:val="21"/>
              </w:rPr>
              <w:t>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909" w:type="dxa"/>
            <w:vMerge w:val="continue"/>
            <w:vAlign w:val="center"/>
          </w:tcPr>
          <w:p>
            <w:pPr>
              <w:ind w:firstLine="400" w:firstLineChars="200"/>
              <w:jc w:val="center"/>
              <w:rPr>
                <w:kern w:val="0"/>
                <w:sz w:val="20"/>
                <w:szCs w:val="21"/>
              </w:rPr>
            </w:pPr>
          </w:p>
        </w:tc>
        <w:tc>
          <w:tcPr>
            <w:tcW w:w="5040" w:type="dxa"/>
            <w:vAlign w:val="center"/>
          </w:tcPr>
          <w:p>
            <w:pPr>
              <w:jc w:val="center"/>
              <w:rPr>
                <w:kern w:val="0"/>
                <w:sz w:val="20"/>
                <w:szCs w:val="21"/>
              </w:rPr>
            </w:pPr>
            <w:r>
              <w:rPr>
                <w:kern w:val="0"/>
                <w:szCs w:val="21"/>
              </w:rPr>
              <w:t>沥青混凝土、特种混凝土等其他混凝土</w:t>
            </w:r>
          </w:p>
        </w:tc>
        <w:tc>
          <w:tcPr>
            <w:tcW w:w="2579" w:type="dxa"/>
            <w:vAlign w:val="center"/>
          </w:tcPr>
          <w:p>
            <w:pPr>
              <w:jc w:val="center"/>
              <w:rPr>
                <w:kern w:val="0"/>
                <w:sz w:val="20"/>
                <w:szCs w:val="21"/>
              </w:rPr>
            </w:pPr>
            <w:r>
              <w:rPr>
                <w:kern w:val="0"/>
                <w:szCs w:val="21"/>
              </w:rPr>
              <w:t>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Merge w:val="continue"/>
            <w:vAlign w:val="center"/>
          </w:tcPr>
          <w:p>
            <w:pPr>
              <w:ind w:firstLine="400" w:firstLineChars="200"/>
              <w:jc w:val="center"/>
              <w:rPr>
                <w:kern w:val="0"/>
                <w:sz w:val="20"/>
                <w:szCs w:val="21"/>
              </w:rPr>
            </w:pPr>
          </w:p>
        </w:tc>
        <w:tc>
          <w:tcPr>
            <w:tcW w:w="5040" w:type="dxa"/>
            <w:vAlign w:val="center"/>
          </w:tcPr>
          <w:p>
            <w:pPr>
              <w:jc w:val="center"/>
              <w:rPr>
                <w:kern w:val="0"/>
                <w:sz w:val="20"/>
                <w:szCs w:val="21"/>
              </w:rPr>
            </w:pPr>
            <w:r>
              <w:rPr>
                <w:kern w:val="0"/>
                <w:szCs w:val="21"/>
              </w:rPr>
              <w:t>砂浆及其他配合比材料</w:t>
            </w:r>
          </w:p>
        </w:tc>
        <w:tc>
          <w:tcPr>
            <w:tcW w:w="2579" w:type="dxa"/>
            <w:vAlign w:val="center"/>
          </w:tcPr>
          <w:p>
            <w:pPr>
              <w:jc w:val="center"/>
              <w:rPr>
                <w:kern w:val="0"/>
                <w:sz w:val="20"/>
                <w:szCs w:val="21"/>
              </w:rPr>
            </w:pPr>
            <w:r>
              <w:rPr>
                <w:kern w:val="0"/>
                <w:szCs w:val="21"/>
              </w:rPr>
              <w:t>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909" w:type="dxa"/>
            <w:vMerge w:val="continue"/>
            <w:vAlign w:val="center"/>
          </w:tcPr>
          <w:p>
            <w:pPr>
              <w:ind w:firstLine="400" w:firstLineChars="200"/>
              <w:jc w:val="center"/>
              <w:rPr>
                <w:kern w:val="0"/>
                <w:sz w:val="20"/>
                <w:szCs w:val="21"/>
              </w:rPr>
            </w:pPr>
          </w:p>
        </w:tc>
        <w:tc>
          <w:tcPr>
            <w:tcW w:w="5040" w:type="dxa"/>
            <w:vAlign w:val="center"/>
          </w:tcPr>
          <w:p>
            <w:pPr>
              <w:jc w:val="center"/>
              <w:rPr>
                <w:kern w:val="0"/>
                <w:sz w:val="20"/>
                <w:szCs w:val="21"/>
              </w:rPr>
            </w:pPr>
            <w:r>
              <w:rPr>
                <w:kern w:val="0"/>
                <w:szCs w:val="21"/>
              </w:rPr>
              <w:t>黑色及有色金属</w:t>
            </w:r>
          </w:p>
        </w:tc>
        <w:tc>
          <w:tcPr>
            <w:tcW w:w="2579" w:type="dxa"/>
            <w:vAlign w:val="center"/>
          </w:tcPr>
          <w:p>
            <w:pPr>
              <w:jc w:val="center"/>
              <w:rPr>
                <w:kern w:val="0"/>
                <w:sz w:val="20"/>
                <w:szCs w:val="21"/>
              </w:rPr>
            </w:pPr>
            <w:r>
              <w:rPr>
                <w:kern w:val="0"/>
                <w:szCs w:val="21"/>
              </w:rPr>
              <w:t>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09" w:type="dxa"/>
            <w:vMerge w:val="continue"/>
            <w:vAlign w:val="center"/>
          </w:tcPr>
          <w:p>
            <w:pPr>
              <w:ind w:firstLine="400" w:firstLineChars="200"/>
              <w:jc w:val="center"/>
              <w:rPr>
                <w:kern w:val="0"/>
                <w:sz w:val="20"/>
                <w:szCs w:val="21"/>
              </w:rPr>
            </w:pPr>
          </w:p>
        </w:tc>
        <w:tc>
          <w:tcPr>
            <w:tcW w:w="5040" w:type="dxa"/>
            <w:vAlign w:val="center"/>
          </w:tcPr>
          <w:p>
            <w:pPr>
              <w:jc w:val="center"/>
              <w:rPr>
                <w:kern w:val="0"/>
                <w:sz w:val="20"/>
                <w:szCs w:val="21"/>
              </w:rPr>
            </w:pPr>
            <w:r>
              <w:rPr>
                <w:kern w:val="0"/>
                <w:szCs w:val="21"/>
              </w:rPr>
              <w:t>其他未列明分类的材料</w:t>
            </w:r>
          </w:p>
        </w:tc>
        <w:tc>
          <w:tcPr>
            <w:tcW w:w="2579" w:type="dxa"/>
            <w:vAlign w:val="center"/>
          </w:tcPr>
          <w:p>
            <w:pPr>
              <w:jc w:val="center"/>
              <w:rPr>
                <w:kern w:val="0"/>
                <w:sz w:val="20"/>
                <w:szCs w:val="21"/>
              </w:rPr>
            </w:pPr>
            <w:r>
              <w:rPr>
                <w:kern w:val="0"/>
                <w:szCs w:val="21"/>
              </w:rPr>
              <w:t>12.95</w:t>
            </w:r>
          </w:p>
        </w:tc>
      </w:tr>
    </w:tbl>
    <w:p>
      <w:pPr>
        <w:spacing w:line="360" w:lineRule="auto"/>
        <w:ind w:firstLine="480"/>
        <w:rPr>
          <w:sz w:val="24"/>
        </w:rPr>
      </w:pPr>
      <w:r>
        <w:rPr>
          <w:rFonts w:hint="eastAsia" w:ascii="宋体" w:hAnsi="宋体" w:cs="宋体"/>
          <w:sz w:val="24"/>
        </w:rPr>
        <w:t>③</w:t>
      </w:r>
      <w:r>
        <w:rPr>
          <w:sz w:val="24"/>
        </w:rPr>
        <w:t>混凝土、砂浆等配合比材料如为现场拌合，则按对应的材料分别扣税；</w:t>
      </w:r>
    </w:p>
    <w:p>
      <w:pPr>
        <w:spacing w:line="360" w:lineRule="auto"/>
        <w:ind w:firstLine="480"/>
        <w:rPr>
          <w:sz w:val="24"/>
        </w:rPr>
      </w:pPr>
      <w:r>
        <w:rPr>
          <w:rFonts w:hint="eastAsia" w:ascii="宋体" w:hAnsi="宋体" w:cs="宋体"/>
          <w:sz w:val="24"/>
        </w:rPr>
        <w:t>④</w:t>
      </w:r>
      <w:r>
        <w:rPr>
          <w:sz w:val="24"/>
        </w:rPr>
        <w:t>电、水、风预算价格取建设工程材料预算价格公布的价格，为不含增值税的价格；</w:t>
      </w:r>
    </w:p>
    <w:p>
      <w:pPr>
        <w:spacing w:line="360" w:lineRule="auto"/>
        <w:ind w:firstLine="480"/>
        <w:rPr>
          <w:sz w:val="24"/>
        </w:rPr>
      </w:pPr>
      <w:r>
        <w:rPr>
          <w:rFonts w:hint="eastAsia" w:ascii="宋体" w:hAnsi="宋体" w:cs="宋体"/>
          <w:sz w:val="24"/>
        </w:rPr>
        <w:t>⑤</w:t>
      </w:r>
      <w:r>
        <w:rPr>
          <w:sz w:val="24"/>
        </w:rPr>
        <w:t>湖南省住房和城乡建设厅调整材料综合税率时，土地整治项目预算应采用最新的综合税率标准，不再另行通知。</w:t>
      </w:r>
    </w:p>
    <w:p>
      <w:pPr>
        <w:spacing w:line="360" w:lineRule="auto"/>
        <w:ind w:firstLine="480"/>
        <w:rPr>
          <w:sz w:val="24"/>
        </w:rPr>
      </w:pPr>
      <w:r>
        <w:rPr>
          <w:sz w:val="24"/>
        </w:rPr>
        <w:t>8、分项工程施工费单价</w:t>
      </w:r>
    </w:p>
    <w:p>
      <w:pPr>
        <w:spacing w:line="360" w:lineRule="auto"/>
        <w:ind w:firstLine="480"/>
        <w:rPr>
          <w:sz w:val="24"/>
        </w:rPr>
      </w:pPr>
      <w:r>
        <w:rPr>
          <w:sz w:val="24"/>
        </w:rPr>
        <w:t>以各单位分项工程为基础，在计算人工、用材量、施工机械台时量后，分别按人工预算单价、材料估算单价</w:t>
      </w:r>
      <w:r>
        <w:rPr>
          <w:rFonts w:hint="eastAsia"/>
          <w:sz w:val="24"/>
        </w:rPr>
        <w:t>（表5-7）</w:t>
      </w:r>
      <w:r>
        <w:rPr>
          <w:sz w:val="24"/>
        </w:rPr>
        <w:t>、施工机械台时费计算出直接工程费，再根据不同工程类别措施费费率、间接费费率、利润率和税金率，计算出各分项工程施工费综合单价</w:t>
      </w:r>
      <w:r>
        <w:rPr>
          <w:rFonts w:hint="eastAsia"/>
          <w:sz w:val="24"/>
        </w:rPr>
        <w:t>，</w:t>
      </w:r>
      <w:r>
        <w:rPr>
          <w:sz w:val="24"/>
        </w:rPr>
        <w:t>见表5-</w:t>
      </w:r>
      <w:r>
        <w:rPr>
          <w:rFonts w:hint="eastAsia"/>
          <w:sz w:val="24"/>
        </w:rPr>
        <w:t>8</w:t>
      </w:r>
      <w:r>
        <w:rPr>
          <w:sz w:val="24"/>
        </w:rPr>
        <w:t>。</w:t>
      </w:r>
    </w:p>
    <w:p>
      <w:pPr>
        <w:spacing w:line="360" w:lineRule="auto"/>
        <w:ind w:firstLine="480"/>
        <w:rPr>
          <w:sz w:val="24"/>
        </w:rPr>
      </w:pPr>
      <w:r>
        <w:rPr>
          <w:sz w:val="24"/>
        </w:rPr>
        <w:t>9、土壤和水质监测费用</w:t>
      </w:r>
    </w:p>
    <w:p>
      <w:pPr>
        <w:spacing w:line="360" w:lineRule="auto"/>
        <w:ind w:firstLine="480"/>
        <w:rPr>
          <w:sz w:val="24"/>
        </w:rPr>
      </w:pPr>
      <w:r>
        <w:rPr>
          <w:sz w:val="24"/>
        </w:rPr>
        <w:t>根据市场价按</w:t>
      </w:r>
      <w:r>
        <w:rPr>
          <w:rFonts w:hint="eastAsia"/>
          <w:sz w:val="24"/>
        </w:rPr>
        <w:t>****</w:t>
      </w:r>
      <w:r>
        <w:rPr>
          <w:sz w:val="24"/>
        </w:rPr>
        <w:t>元/组和</w:t>
      </w:r>
      <w:r>
        <w:rPr>
          <w:rFonts w:hint="eastAsia"/>
          <w:sz w:val="24"/>
        </w:rPr>
        <w:t>****</w:t>
      </w:r>
      <w:r>
        <w:rPr>
          <w:sz w:val="24"/>
        </w:rPr>
        <w:t>元/组计算。</w:t>
      </w:r>
    </w:p>
    <w:p>
      <w:pPr>
        <w:spacing w:line="360" w:lineRule="auto"/>
        <w:ind w:firstLine="480"/>
        <w:rPr>
          <w:sz w:val="24"/>
        </w:rPr>
      </w:pPr>
      <w:r>
        <w:rPr>
          <w:sz w:val="24"/>
        </w:rPr>
        <w:t>10、植被监测费用</w:t>
      </w:r>
    </w:p>
    <w:p>
      <w:pPr>
        <w:adjustRightInd w:val="0"/>
        <w:snapToGrid w:val="0"/>
        <w:spacing w:line="360" w:lineRule="auto"/>
        <w:ind w:firstLine="480" w:firstLineChars="200"/>
        <w:rPr>
          <w:sz w:val="24"/>
        </w:rPr>
      </w:pPr>
      <w:r>
        <w:rPr>
          <w:sz w:val="24"/>
        </w:rPr>
        <w:t>植被监测按工班计，每个工班按甲级工</w:t>
      </w:r>
      <w:r>
        <w:rPr>
          <w:rFonts w:hint="eastAsia"/>
          <w:sz w:val="24"/>
        </w:rPr>
        <w:t>****</w:t>
      </w:r>
      <w:r>
        <w:rPr>
          <w:sz w:val="24"/>
        </w:rPr>
        <w:t>元/日计算。</w:t>
      </w:r>
    </w:p>
    <w:p>
      <w:pPr>
        <w:spacing w:line="360" w:lineRule="auto"/>
        <w:jc w:val="center"/>
        <w:rPr>
          <w:rFonts w:eastAsia="仿宋_GB2312"/>
          <w:b/>
          <w:spacing w:val="20"/>
          <w:sz w:val="24"/>
        </w:rPr>
      </w:pPr>
    </w:p>
    <w:p>
      <w:pPr>
        <w:spacing w:line="360" w:lineRule="auto"/>
        <w:jc w:val="center"/>
        <w:rPr>
          <w:rFonts w:eastAsia="仿宋_GB2312"/>
          <w:b/>
          <w:spacing w:val="20"/>
          <w:sz w:val="24"/>
        </w:rPr>
      </w:pPr>
    </w:p>
    <w:p>
      <w:pPr>
        <w:pStyle w:val="82"/>
        <w:spacing w:line="240" w:lineRule="auto"/>
        <w:jc w:val="center"/>
        <w:rPr>
          <w:rFonts w:ascii="Times New Roman" w:hAnsi="Times New Roman" w:eastAsia="宋体" w:cs="Times New Roman"/>
          <w:kern w:val="0"/>
          <w:szCs w:val="21"/>
        </w:rPr>
      </w:pPr>
    </w:p>
    <w:p>
      <w:pPr>
        <w:pStyle w:val="82"/>
        <w:spacing w:line="240" w:lineRule="auto"/>
        <w:jc w:val="center"/>
        <w:rPr>
          <w:rFonts w:ascii="Times New Roman" w:hAnsi="Times New Roman" w:eastAsia="宋体" w:cs="Times New Roman"/>
          <w:kern w:val="0"/>
          <w:szCs w:val="21"/>
        </w:rPr>
      </w:pPr>
    </w:p>
    <w:p>
      <w:pPr>
        <w:pStyle w:val="82"/>
        <w:spacing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表5-7  主要材料价格预算表</w:t>
      </w:r>
    </w:p>
    <w:tbl>
      <w:tblPr>
        <w:tblStyle w:val="34"/>
        <w:tblpPr w:leftFromText="180" w:rightFromText="180" w:vertAnchor="text" w:horzAnchor="page" w:tblpX="1121" w:tblpY="32"/>
        <w:tblOverlap w:val="never"/>
        <w:tblW w:w="9923" w:type="dxa"/>
        <w:tblInd w:w="0" w:type="dxa"/>
        <w:tblLayout w:type="fixed"/>
        <w:tblCellMar>
          <w:top w:w="0" w:type="dxa"/>
          <w:left w:w="108" w:type="dxa"/>
          <w:bottom w:w="0" w:type="dxa"/>
          <w:right w:w="108" w:type="dxa"/>
        </w:tblCellMar>
      </w:tblPr>
      <w:tblGrid>
        <w:gridCol w:w="675"/>
        <w:gridCol w:w="1134"/>
        <w:gridCol w:w="709"/>
        <w:gridCol w:w="1194"/>
        <w:gridCol w:w="963"/>
        <w:gridCol w:w="733"/>
        <w:gridCol w:w="1311"/>
        <w:gridCol w:w="964"/>
        <w:gridCol w:w="1265"/>
        <w:gridCol w:w="975"/>
      </w:tblGrid>
      <w:tr>
        <w:tblPrEx>
          <w:tblCellMar>
            <w:top w:w="0" w:type="dxa"/>
            <w:left w:w="108" w:type="dxa"/>
            <w:bottom w:w="0" w:type="dxa"/>
            <w:right w:w="108" w:type="dxa"/>
          </w:tblCellMar>
        </w:tblPrEx>
        <w:trPr>
          <w:trHeight w:val="545" w:hRule="atLeast"/>
          <w:tblHeader/>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bookmarkStart w:id="84" w:name="_Hlk111072409"/>
            <w:r>
              <w:rPr>
                <w:rFonts w:hint="eastAsia" w:ascii="宋体" w:hAnsi="宋体" w:cs="宋体"/>
                <w:b w:val="0"/>
                <w:bCs/>
                <w:sz w:val="21"/>
                <w:szCs w:val="21"/>
              </w:rPr>
              <w:t>序号</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名称及规格</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单位</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规格</w:t>
            </w:r>
          </w:p>
        </w:tc>
        <w:tc>
          <w:tcPr>
            <w:tcW w:w="963"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取定预算价格</w:t>
            </w:r>
          </w:p>
        </w:tc>
        <w:tc>
          <w:tcPr>
            <w:tcW w:w="733"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序号</w:t>
            </w:r>
          </w:p>
        </w:tc>
        <w:tc>
          <w:tcPr>
            <w:tcW w:w="1311"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名称及规格</w:t>
            </w:r>
          </w:p>
        </w:tc>
        <w:tc>
          <w:tcPr>
            <w:tcW w:w="964"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单位</w:t>
            </w:r>
          </w:p>
        </w:tc>
        <w:tc>
          <w:tcPr>
            <w:tcW w:w="1265"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规格</w:t>
            </w:r>
          </w:p>
        </w:tc>
        <w:tc>
          <w:tcPr>
            <w:tcW w:w="975" w:type="dxa"/>
            <w:tcBorders>
              <w:top w:val="single" w:color="auto" w:sz="6" w:space="0"/>
              <w:left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取定预算价格</w:t>
            </w:r>
          </w:p>
        </w:tc>
      </w:tr>
      <w:tr>
        <w:tblPrEx>
          <w:tblCellMar>
            <w:top w:w="0" w:type="dxa"/>
            <w:left w:w="108" w:type="dxa"/>
            <w:bottom w:w="0" w:type="dxa"/>
            <w:right w:w="108" w:type="dxa"/>
          </w:tblCellMar>
        </w:tblPrEx>
        <w:trPr>
          <w:trHeight w:val="426"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汽油</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L</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92#</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21</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型钢</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04"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柴油</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L</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22</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卡扣件</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4.8</w:t>
            </w:r>
          </w:p>
        </w:tc>
      </w:tr>
      <w:tr>
        <w:tblPrEx>
          <w:tblCellMar>
            <w:top w:w="0" w:type="dxa"/>
            <w:left w:w="108" w:type="dxa"/>
            <w:bottom w:w="0" w:type="dxa"/>
            <w:right w:w="108" w:type="dxa"/>
          </w:tblCellMar>
        </w:tblPrEx>
        <w:trPr>
          <w:trHeight w:val="410"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电</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kw.h</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1.2</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23</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铁件</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02"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水</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4.28</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24</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电焊条</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6</w:t>
            </w:r>
          </w:p>
        </w:tc>
      </w:tr>
      <w:tr>
        <w:tblPrEx>
          <w:tblCellMar>
            <w:top w:w="0" w:type="dxa"/>
            <w:left w:w="108" w:type="dxa"/>
            <w:bottom w:w="0" w:type="dxa"/>
            <w:right w:w="108" w:type="dxa"/>
          </w:tblCellMar>
        </w:tblPrEx>
        <w:trPr>
          <w:trHeight w:val="408"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5</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钢筋</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t</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Φ10以内</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25</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铁钉</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14"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6</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铁丝</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18#-22#</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6</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26</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沥青</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t</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06"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7</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 xml:space="preserve">HPB300 </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直径10mm</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27</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钢模板</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56"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8</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镀锌铁丝</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22#</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28</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密封胶</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396"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9</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砾石</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20mm</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29</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石灰</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16"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10</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水泥</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t</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32.5</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30</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PVC管</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Ф10cm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08"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11</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中净砂</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***8</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31</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油茶</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株</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20cm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13"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12</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块石</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32</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卵石</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40mm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05"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13</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红砖</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块</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33</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粗砂</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411"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14</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有机肥</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kg</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34</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铁丝网</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高1.8m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15</w:t>
            </w:r>
          </w:p>
        </w:tc>
      </w:tr>
      <w:tr>
        <w:tblPrEx>
          <w:tblCellMar>
            <w:top w:w="0" w:type="dxa"/>
            <w:left w:w="108" w:type="dxa"/>
            <w:bottom w:w="0" w:type="dxa"/>
            <w:right w:w="108" w:type="dxa"/>
          </w:tblCellMar>
        </w:tblPrEx>
        <w:trPr>
          <w:trHeight w:val="417"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15</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草籽</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2</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0.6</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35</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锯材</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t</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395"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16</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无纺布</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2</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36</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铁丝网</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高1.8m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327"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17</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混凝土（砾石）</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C20</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37</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普通商品砼</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C20（砾石）</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w:t>
            </w:r>
          </w:p>
        </w:tc>
      </w:tr>
      <w:tr>
        <w:tblPrEx>
          <w:tblCellMar>
            <w:top w:w="0" w:type="dxa"/>
            <w:left w:w="108" w:type="dxa"/>
            <w:bottom w:w="0" w:type="dxa"/>
            <w:right w:w="108" w:type="dxa"/>
          </w:tblCellMar>
        </w:tblPrEx>
        <w:trPr>
          <w:trHeight w:val="545"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18</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爬山虎、紫藤</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株</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主蔓长1m</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5.0</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38</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乔木树苗（带土球）</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颗</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胸径1-3cm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15</w:t>
            </w:r>
          </w:p>
        </w:tc>
      </w:tr>
      <w:tr>
        <w:tblPrEx>
          <w:tblCellMar>
            <w:top w:w="0" w:type="dxa"/>
            <w:left w:w="108" w:type="dxa"/>
            <w:bottom w:w="0" w:type="dxa"/>
            <w:right w:w="108" w:type="dxa"/>
          </w:tblCellMar>
        </w:tblPrEx>
        <w:trPr>
          <w:trHeight w:val="545"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19</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种植土</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m</w:t>
            </w:r>
            <w:r>
              <w:rPr>
                <w:rFonts w:hint="eastAsia" w:ascii="宋体" w:hAnsi="宋体" w:cs="宋体"/>
                <w:b w:val="0"/>
                <w:bCs/>
                <w:sz w:val="21"/>
                <w:szCs w:val="21"/>
                <w:vertAlign w:val="superscript"/>
              </w:rPr>
              <w:t>3</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30</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39</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灌木树苗（带土球）</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株</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株高80cm</w:t>
            </w: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10</w:t>
            </w:r>
          </w:p>
        </w:tc>
      </w:tr>
      <w:tr>
        <w:tblPrEx>
          <w:tblCellMar>
            <w:top w:w="0" w:type="dxa"/>
            <w:left w:w="108" w:type="dxa"/>
            <w:bottom w:w="0" w:type="dxa"/>
            <w:right w:w="108" w:type="dxa"/>
          </w:tblCellMar>
        </w:tblPrEx>
        <w:trPr>
          <w:trHeight w:val="307" w:hRule="atLeast"/>
        </w:trPr>
        <w:tc>
          <w:tcPr>
            <w:tcW w:w="6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20</w:t>
            </w:r>
          </w:p>
        </w:tc>
        <w:tc>
          <w:tcPr>
            <w:tcW w:w="113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生态袋</w:t>
            </w:r>
          </w:p>
        </w:tc>
        <w:tc>
          <w:tcPr>
            <w:tcW w:w="709"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个</w:t>
            </w:r>
          </w:p>
        </w:tc>
        <w:tc>
          <w:tcPr>
            <w:tcW w:w="119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 xml:space="preserve">500*500*250mm </w:t>
            </w:r>
          </w:p>
        </w:tc>
        <w:tc>
          <w:tcPr>
            <w:tcW w:w="96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1.5</w:t>
            </w:r>
          </w:p>
        </w:tc>
        <w:tc>
          <w:tcPr>
            <w:tcW w:w="733"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40</w:t>
            </w:r>
          </w:p>
        </w:tc>
        <w:tc>
          <w:tcPr>
            <w:tcW w:w="1311"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草袋</w:t>
            </w:r>
          </w:p>
        </w:tc>
        <w:tc>
          <w:tcPr>
            <w:tcW w:w="964"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个</w:t>
            </w:r>
          </w:p>
        </w:tc>
        <w:tc>
          <w:tcPr>
            <w:tcW w:w="126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p>
        </w:tc>
        <w:tc>
          <w:tcPr>
            <w:tcW w:w="975" w:type="dxa"/>
            <w:tcBorders>
              <w:top w:val="single" w:color="auto" w:sz="6" w:space="0"/>
              <w:left w:val="single" w:color="auto" w:sz="6" w:space="0"/>
              <w:bottom w:val="single" w:color="auto" w:sz="6" w:space="0"/>
              <w:right w:val="single" w:color="auto" w:sz="6" w:space="0"/>
            </w:tcBorders>
            <w:vAlign w:val="center"/>
          </w:tcPr>
          <w:p>
            <w:pPr>
              <w:pStyle w:val="66"/>
              <w:adjustRightInd w:val="0"/>
              <w:snapToGrid w:val="0"/>
              <w:spacing w:beforeLines="0" w:afterLines="0"/>
              <w:outlineLvl w:val="9"/>
              <w:rPr>
                <w:rFonts w:ascii="宋体" w:hAnsi="宋体" w:cs="宋体"/>
                <w:b w:val="0"/>
                <w:bCs/>
                <w:sz w:val="21"/>
                <w:szCs w:val="21"/>
              </w:rPr>
            </w:pPr>
            <w:r>
              <w:rPr>
                <w:rFonts w:hint="eastAsia" w:ascii="宋体" w:hAnsi="宋体" w:cs="宋体"/>
                <w:b w:val="0"/>
                <w:bCs/>
                <w:sz w:val="21"/>
                <w:szCs w:val="21"/>
              </w:rPr>
              <w:t>2</w:t>
            </w:r>
          </w:p>
        </w:tc>
      </w:tr>
      <w:bookmarkEnd w:id="84"/>
    </w:tbl>
    <w:p>
      <w:pPr>
        <w:pStyle w:val="2"/>
        <w:sectPr>
          <w:pgSz w:w="11906" w:h="16838"/>
          <w:pgMar w:top="1440" w:right="1570" w:bottom="1440" w:left="1797" w:header="851" w:footer="992" w:gutter="0"/>
          <w:cols w:space="720" w:num="1"/>
          <w:docGrid w:type="lines" w:linePitch="312" w:charSpace="0"/>
        </w:sectPr>
      </w:pPr>
    </w:p>
    <w:p>
      <w:pPr>
        <w:widowControl/>
        <w:snapToGrid w:val="0"/>
        <w:jc w:val="center"/>
      </w:pPr>
      <w:bookmarkStart w:id="85" w:name="_Toc518918343"/>
      <w:r>
        <w:rPr>
          <w:kern w:val="0"/>
          <w:sz w:val="24"/>
          <w:szCs w:val="21"/>
        </w:rPr>
        <w:t>表5-8     矿山生态保护修复分项工程施工单价估算一览表               单位：元</w:t>
      </w:r>
    </w:p>
    <w:tbl>
      <w:tblPr>
        <w:tblStyle w:val="34"/>
        <w:tblW w:w="14368" w:type="dxa"/>
        <w:tblInd w:w="0" w:type="dxa"/>
        <w:tblLayout w:type="autofit"/>
        <w:tblCellMar>
          <w:top w:w="0" w:type="dxa"/>
          <w:left w:w="108" w:type="dxa"/>
          <w:bottom w:w="0" w:type="dxa"/>
          <w:right w:w="108" w:type="dxa"/>
        </w:tblCellMar>
      </w:tblPr>
      <w:tblGrid>
        <w:gridCol w:w="1377"/>
        <w:gridCol w:w="868"/>
        <w:gridCol w:w="942"/>
        <w:gridCol w:w="659"/>
        <w:gridCol w:w="756"/>
        <w:gridCol w:w="756"/>
        <w:gridCol w:w="735"/>
        <w:gridCol w:w="756"/>
        <w:gridCol w:w="666"/>
        <w:gridCol w:w="756"/>
        <w:gridCol w:w="756"/>
        <w:gridCol w:w="666"/>
        <w:gridCol w:w="756"/>
        <w:gridCol w:w="666"/>
        <w:gridCol w:w="756"/>
        <w:gridCol w:w="867"/>
        <w:gridCol w:w="756"/>
        <w:gridCol w:w="874"/>
      </w:tblGrid>
      <w:tr>
        <w:tblPrEx>
          <w:tblCellMar>
            <w:top w:w="0" w:type="dxa"/>
            <w:left w:w="108" w:type="dxa"/>
            <w:bottom w:w="0" w:type="dxa"/>
            <w:right w:w="108" w:type="dxa"/>
          </w:tblCellMar>
        </w:tblPrEx>
        <w:trPr>
          <w:trHeight w:val="75" w:hRule="atLeast"/>
        </w:trPr>
        <w:tc>
          <w:tcPr>
            <w:tcW w:w="1377"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工程或费</w:t>
            </w:r>
          </w:p>
          <w:p>
            <w:pPr>
              <w:widowControl/>
              <w:jc w:val="center"/>
              <w:rPr>
                <w:rFonts w:ascii="宋体" w:hAnsi="宋体" w:cs="宋体"/>
                <w:kern w:val="0"/>
                <w:sz w:val="18"/>
                <w:szCs w:val="18"/>
              </w:rPr>
            </w:pPr>
            <w:r>
              <w:rPr>
                <w:rFonts w:hint="eastAsia" w:ascii="宋体" w:hAnsi="宋体" w:cs="宋体"/>
                <w:kern w:val="0"/>
                <w:sz w:val="18"/>
                <w:szCs w:val="18"/>
              </w:rPr>
              <w:t>用名称</w:t>
            </w:r>
          </w:p>
        </w:tc>
        <w:tc>
          <w:tcPr>
            <w:tcW w:w="86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定额</w:t>
            </w:r>
          </w:p>
          <w:p>
            <w:pPr>
              <w:widowControl/>
              <w:jc w:val="center"/>
              <w:rPr>
                <w:rFonts w:ascii="宋体" w:hAnsi="宋体" w:cs="宋体"/>
                <w:kern w:val="0"/>
                <w:sz w:val="18"/>
                <w:szCs w:val="18"/>
              </w:rPr>
            </w:pPr>
            <w:r>
              <w:rPr>
                <w:rFonts w:hint="eastAsia" w:ascii="宋体" w:hAnsi="宋体" w:cs="宋体"/>
                <w:kern w:val="0"/>
                <w:sz w:val="18"/>
                <w:szCs w:val="18"/>
              </w:rPr>
              <w:t>编号</w:t>
            </w:r>
          </w:p>
        </w:tc>
        <w:tc>
          <w:tcPr>
            <w:tcW w:w="9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工程类别</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直  接  费</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间 接 费</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利润</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材料价差</w:t>
            </w:r>
          </w:p>
        </w:tc>
        <w:tc>
          <w:tcPr>
            <w:tcW w:w="8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未计价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税金</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r>
      <w:tr>
        <w:tblPrEx>
          <w:tblCellMar>
            <w:top w:w="0" w:type="dxa"/>
            <w:left w:w="108" w:type="dxa"/>
            <w:bottom w:w="0" w:type="dxa"/>
            <w:right w:w="108" w:type="dxa"/>
          </w:tblCellMar>
        </w:tblPrEx>
        <w:trPr>
          <w:trHeight w:val="264" w:hRule="atLeast"/>
        </w:trPr>
        <w:tc>
          <w:tcPr>
            <w:tcW w:w="1377" w:type="dxa"/>
            <w:vMerge w:val="continue"/>
            <w:tcBorders>
              <w:left w:val="single" w:color="auto" w:sz="4" w:space="0"/>
              <w:right w:val="single" w:color="auto" w:sz="4" w:space="0"/>
            </w:tcBorders>
            <w:shd w:val="clear" w:color="auto" w:fill="auto"/>
            <w:vAlign w:val="center"/>
          </w:tcPr>
          <w:p>
            <w:pPr>
              <w:jc w:val="left"/>
              <w:rPr>
                <w:rFonts w:ascii="宋体" w:hAnsi="宋体" w:cs="宋体"/>
                <w:kern w:val="0"/>
                <w:sz w:val="18"/>
                <w:szCs w:val="18"/>
              </w:rPr>
            </w:pPr>
          </w:p>
        </w:tc>
        <w:tc>
          <w:tcPr>
            <w:tcW w:w="868" w:type="dxa"/>
            <w:vMerge w:val="continue"/>
            <w:tcBorders>
              <w:left w:val="nil"/>
              <w:right w:val="single" w:color="auto" w:sz="4" w:space="0"/>
            </w:tcBorders>
            <w:shd w:val="clear" w:color="auto" w:fill="auto"/>
            <w:vAlign w:val="center"/>
          </w:tcPr>
          <w:p>
            <w:pPr>
              <w:jc w:val="left"/>
              <w:rPr>
                <w:rFonts w:ascii="宋体" w:hAnsi="宋体" w:cs="宋体"/>
                <w:kern w:val="0"/>
                <w:sz w:val="18"/>
                <w:szCs w:val="18"/>
              </w:rPr>
            </w:pPr>
          </w:p>
        </w:tc>
        <w:tc>
          <w:tcPr>
            <w:tcW w:w="9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直接工程费</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措施费</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费率</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费 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材料费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456" w:hRule="atLeast"/>
        </w:trPr>
        <w:tc>
          <w:tcPr>
            <w:tcW w:w="1377" w:type="dxa"/>
            <w:vMerge w:val="continue"/>
            <w:tcBorders>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p>
        </w:tc>
        <w:tc>
          <w:tcPr>
            <w:tcW w:w="868" w:type="dxa"/>
            <w:vMerge w:val="continue"/>
            <w:tcBorders>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p>
        </w:tc>
        <w:tc>
          <w:tcPr>
            <w:tcW w:w="9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人工费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材料费</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18"/>
                <w:szCs w:val="18"/>
              </w:rPr>
            </w:pPr>
            <w:r>
              <w:rPr>
                <w:rFonts w:hint="eastAsia" w:ascii="宋体" w:hAnsi="宋体" w:cs="宋体"/>
                <w:kern w:val="0"/>
                <w:sz w:val="18"/>
                <w:szCs w:val="18"/>
              </w:rPr>
              <w:t>机械费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费率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费用</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8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人工挖沟槽</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10019</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28.91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1.16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30.07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0.95</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机械挖方</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20010</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石方工程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33.9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1.07</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浆砌石砌沟</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30022</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108.36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16.92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14.95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9.42</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伸缩缝</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40280</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混凝土工程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38.734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13.16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17.83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8.29</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28.01</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24.88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防渗砼</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40097</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101.93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43.26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16.62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22.95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11.36</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47.19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exact"/>
              <w:ind w:left="360" w:hanging="360"/>
              <w:jc w:val="left"/>
              <w:rPr>
                <w:rFonts w:ascii="宋体" w:hAnsi="宋体" w:cs="宋体"/>
                <w:sz w:val="18"/>
                <w:szCs w:val="18"/>
              </w:rPr>
            </w:pPr>
            <w:r>
              <w:rPr>
                <w:rFonts w:hint="eastAsia" w:ascii="宋体" w:hAnsi="宋体" w:cs="宋体"/>
                <w:sz w:val="18"/>
                <w:szCs w:val="18"/>
                <w:lang w:eastAsia="en-US"/>
              </w:rPr>
              <w:t>PVC管</w:t>
            </w:r>
          </w:p>
        </w:tc>
        <w:tc>
          <w:tcPr>
            <w:tcW w:w="868" w:type="dxa"/>
            <w:tcBorders>
              <w:top w:val="nil"/>
              <w:left w:val="nil"/>
              <w:bottom w:val="single" w:color="auto" w:sz="4" w:space="0"/>
              <w:right w:val="single" w:color="auto" w:sz="4" w:space="0"/>
            </w:tcBorders>
            <w:shd w:val="clear" w:color="auto" w:fill="auto"/>
            <w:vAlign w:val="center"/>
          </w:tcPr>
          <w:p>
            <w:pPr>
              <w:widowControl/>
              <w:snapToGrid w:val="0"/>
              <w:spacing w:line="240" w:lineRule="exact"/>
              <w:ind w:left="360" w:hanging="360"/>
              <w:jc w:val="center"/>
              <w:rPr>
                <w:rFonts w:ascii="宋体" w:hAnsi="宋体" w:cs="宋体"/>
                <w:sz w:val="18"/>
                <w:szCs w:val="18"/>
              </w:rPr>
            </w:pPr>
            <w:r>
              <w:rPr>
                <w:rFonts w:hint="eastAsia" w:ascii="宋体" w:hAnsi="宋体" w:cs="宋体"/>
                <w:sz w:val="18"/>
                <w:szCs w:val="18"/>
                <w:lang w:eastAsia="en-US"/>
              </w:rPr>
              <w:t>50067</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安装工程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p>
        </w:tc>
        <w:tc>
          <w:tcPr>
            <w:tcW w:w="0" w:type="auto"/>
            <w:tcBorders>
              <w:top w:val="nil"/>
              <w:left w:val="nil"/>
              <w:bottom w:val="single" w:color="auto" w:sz="4" w:space="0"/>
              <w:right w:val="single" w:color="auto" w:sz="4" w:space="0"/>
            </w:tcBorders>
            <w:shd w:val="clear" w:color="auto" w:fill="auto"/>
            <w:vAlign w:val="center"/>
          </w:tcPr>
          <w:p>
            <w:pPr>
              <w:widowControl/>
              <w:snapToGrid w:val="0"/>
              <w:spacing w:line="240" w:lineRule="exact"/>
              <w:ind w:left="360" w:hanging="360"/>
              <w:jc w:val="center"/>
              <w:rPr>
                <w:rFonts w:ascii="宋体" w:hAnsi="宋体" w:cs="宋体"/>
                <w:sz w:val="18"/>
                <w:szCs w:val="18"/>
              </w:rPr>
            </w:pPr>
            <w:r>
              <w:rPr>
                <w:rFonts w:hint="eastAsia" w:ascii="宋体" w:hAnsi="宋体" w:cs="宋体"/>
                <w:sz w:val="18"/>
                <w:szCs w:val="18"/>
              </w:rPr>
              <w:t>0.24</w:t>
            </w:r>
          </w:p>
        </w:tc>
        <w:tc>
          <w:tcPr>
            <w:tcW w:w="0" w:type="auto"/>
            <w:tcBorders>
              <w:top w:val="nil"/>
              <w:left w:val="nil"/>
              <w:bottom w:val="single" w:color="auto" w:sz="4" w:space="0"/>
              <w:right w:val="single" w:color="auto" w:sz="4" w:space="0"/>
            </w:tcBorders>
            <w:shd w:val="clear" w:color="auto" w:fill="auto"/>
            <w:vAlign w:val="center"/>
          </w:tcPr>
          <w:p>
            <w:pPr>
              <w:widowControl/>
              <w:snapToGrid w:val="0"/>
              <w:spacing w:line="240" w:lineRule="exact"/>
              <w:ind w:left="360" w:hanging="360"/>
              <w:jc w:val="center"/>
              <w:rPr>
                <w:rFonts w:ascii="宋体" w:hAnsi="宋体" w:cs="宋体"/>
                <w:sz w:val="18"/>
                <w:szCs w:val="18"/>
              </w:rPr>
            </w:pPr>
            <w:r>
              <w:rPr>
                <w:rFonts w:hint="eastAsia" w:ascii="宋体" w:hAnsi="宋体" w:cs="宋体"/>
                <w:sz w:val="18"/>
                <w:szCs w:val="18"/>
              </w:rPr>
              <w:t>6.80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7.04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7.32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0.23</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0.85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8.80</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砼垫层</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40098</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55.19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18.09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24.51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12.13</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124.72</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44.49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浆砌块石</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30072</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41.24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14.68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381.7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22.9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12.14</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129.22</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37.51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砂浆立抹（3cm）</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30076</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3.58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93.13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2.95</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2.44</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砂浆平抹（2cm）</w:t>
            </w:r>
          </w:p>
        </w:tc>
        <w:tc>
          <w:tcPr>
            <w:tcW w:w="868"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30075</w:t>
            </w:r>
          </w:p>
        </w:tc>
        <w:tc>
          <w:tcPr>
            <w:tcW w:w="942"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砌体工程</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1.85</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1.54</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40.14</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5.45</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2.19</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1.27</w:t>
            </w:r>
          </w:p>
        </w:tc>
        <w:tc>
          <w:tcPr>
            <w:tcW w:w="75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2.44</w:t>
            </w:r>
          </w:p>
        </w:tc>
        <w:tc>
          <w:tcPr>
            <w:tcW w:w="867"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3.92</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弃方（运距&lt;1km）</w:t>
            </w:r>
          </w:p>
        </w:tc>
        <w:tc>
          <w:tcPr>
            <w:tcW w:w="868"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10045</w:t>
            </w:r>
          </w:p>
        </w:tc>
        <w:tc>
          <w:tcPr>
            <w:tcW w:w="942"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土方工程</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10.67</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10.67</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0.64</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11.31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0.57</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0.36</w:t>
            </w:r>
          </w:p>
        </w:tc>
        <w:tc>
          <w:tcPr>
            <w:tcW w:w="75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人工挖土方</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10019</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41.26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41.26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43.74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5.47</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机械拆除无钢筋混凝</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30073</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石方工程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4.72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17.69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312.53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15.63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9.84</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32.37</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30.42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石渣清运（运距&gt;=100m）</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10135</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石方工程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8.03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14.71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22.74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0.76</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场地平整</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10040</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hm</w:t>
            </w:r>
            <w:r>
              <w:rPr>
                <w:rFonts w:hint="eastAsia" w:ascii="宋体" w:hAnsi="宋体" w:cs="宋体"/>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395.34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115.46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101.99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64.26</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198.55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覆土工程</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10316</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0.66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0.39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0.57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0.33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3.66</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455"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栽植乔木（带土球20cm以内）~Ⅲ类土</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90001换</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0.67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20.67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0.827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1.075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0.645</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4.25</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1.935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516" w:hRule="atLeast"/>
        </w:trPr>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栽植灌木（（带土球20cm以内）~Ⅲ类土</w:t>
            </w:r>
          </w:p>
        </w:tc>
        <w:tc>
          <w:tcPr>
            <w:tcW w:w="8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90013</w:t>
            </w:r>
          </w:p>
        </w:tc>
        <w:tc>
          <w:tcPr>
            <w:tcW w:w="9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其他工程</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株</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2.91</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5.14</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8.05</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0.31</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8.37</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0.45</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0.26</w:t>
            </w:r>
          </w:p>
        </w:tc>
        <w:tc>
          <w:tcPr>
            <w:tcW w:w="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4.25</w:t>
            </w:r>
          </w:p>
        </w:tc>
        <w:tc>
          <w:tcPr>
            <w:tcW w:w="8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1.46</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植草撒播不覆土~Ⅲ类土</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90030</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6.64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0.265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0.345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0.207</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0.621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种植爬藤</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E13-131</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其他工程</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18"/>
                <w:szCs w:val="18"/>
              </w:rPr>
            </w:pPr>
            <w:r>
              <w:rPr>
                <w:rFonts w:hint="eastAsia" w:ascii="宋体" w:hAnsi="宋体" w:cs="宋体"/>
                <w:kern w:val="0"/>
                <w:sz w:val="18"/>
                <w:szCs w:val="18"/>
              </w:rPr>
              <w:t>100株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71.05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203.33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10.98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285.36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8.99</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27.78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1377"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18"/>
                <w:szCs w:val="18"/>
              </w:rPr>
            </w:pPr>
            <w:r>
              <w:rPr>
                <w:rFonts w:hint="eastAsia" w:ascii="宋体" w:hAnsi="宋体" w:cs="宋体"/>
                <w:kern w:val="0"/>
                <w:sz w:val="18"/>
                <w:szCs w:val="18"/>
              </w:rPr>
              <w:t>防护栏</w:t>
            </w:r>
          </w:p>
        </w:tc>
        <w:tc>
          <w:tcPr>
            <w:tcW w:w="8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50057</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安装工程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0.82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5.68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147.7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7.39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4.65</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14.38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64" w:hRule="atLeast"/>
        </w:trPr>
        <w:tc>
          <w:tcPr>
            <w:tcW w:w="22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警示牌</w:t>
            </w:r>
          </w:p>
        </w:tc>
        <w:tc>
          <w:tcPr>
            <w:tcW w:w="942"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其他工程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9" w:hRule="atLeast"/>
        </w:trPr>
        <w:tc>
          <w:tcPr>
            <w:tcW w:w="22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水质监测+简分析</w:t>
            </w:r>
          </w:p>
        </w:tc>
        <w:tc>
          <w:tcPr>
            <w:tcW w:w="9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件</w:t>
            </w:r>
          </w:p>
        </w:tc>
        <w:tc>
          <w:tcPr>
            <w:tcW w:w="0" w:type="auto"/>
            <w:gridSpan w:val="13"/>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人工工资+简分析（悬浮物20元+PH值9元+C0D31元+Pb、As、Mn等）</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bl>
    <w:p>
      <w:pPr>
        <w:tabs>
          <w:tab w:val="left" w:pos="780"/>
        </w:tabs>
        <w:rPr>
          <w:sz w:val="18"/>
          <w:szCs w:val="18"/>
        </w:rPr>
      </w:pPr>
      <w:r>
        <w:rPr>
          <w:sz w:val="18"/>
          <w:szCs w:val="18"/>
        </w:rPr>
        <w:t>生态修复后按绿化管护市场价5000 m</w:t>
      </w:r>
      <w:r>
        <w:rPr>
          <w:sz w:val="18"/>
          <w:szCs w:val="18"/>
          <w:vertAlign w:val="superscript"/>
        </w:rPr>
        <w:t>2</w:t>
      </w:r>
      <w:r>
        <w:rPr>
          <w:sz w:val="18"/>
          <w:szCs w:val="18"/>
        </w:rPr>
        <w:t>以上1.2元/m</w:t>
      </w:r>
      <w:r>
        <w:rPr>
          <w:sz w:val="18"/>
          <w:szCs w:val="18"/>
          <w:vertAlign w:val="superscript"/>
        </w:rPr>
        <w:t>2</w:t>
      </w:r>
      <w:r>
        <w:rPr>
          <w:sz w:val="18"/>
          <w:szCs w:val="18"/>
        </w:rPr>
        <w:t>年估算。</w:t>
      </w:r>
    </w:p>
    <w:p>
      <w:pPr>
        <w:pStyle w:val="2"/>
        <w:sectPr>
          <w:footerReference r:id="rId14" w:type="first"/>
          <w:headerReference r:id="rId13" w:type="default"/>
          <w:pgSz w:w="16838" w:h="11906" w:orient="landscape"/>
          <w:pgMar w:top="1134" w:right="1440" w:bottom="1134" w:left="1440" w:header="851" w:footer="992" w:gutter="0"/>
          <w:cols w:space="720" w:num="1"/>
          <w:docGrid w:type="lines" w:linePitch="312" w:charSpace="0"/>
        </w:sectPr>
      </w:pPr>
    </w:p>
    <w:p>
      <w:pPr>
        <w:pStyle w:val="5"/>
        <w:spacing w:before="0" w:after="0" w:line="360" w:lineRule="auto"/>
        <w:jc w:val="left"/>
        <w:rPr>
          <w:b w:val="0"/>
          <w:bCs w:val="0"/>
          <w:sz w:val="24"/>
          <w:szCs w:val="24"/>
        </w:rPr>
      </w:pPr>
      <w:r>
        <w:rPr>
          <w:b w:val="0"/>
          <w:bCs w:val="0"/>
          <w:sz w:val="24"/>
          <w:szCs w:val="24"/>
        </w:rPr>
        <w:t>（五）投资估算结果</w:t>
      </w:r>
      <w:bookmarkEnd w:id="85"/>
    </w:p>
    <w:p>
      <w:pPr>
        <w:spacing w:line="360" w:lineRule="auto"/>
        <w:ind w:right="480" w:firstLine="480" w:firstLineChars="200"/>
        <w:rPr>
          <w:sz w:val="24"/>
        </w:rPr>
      </w:pPr>
      <w:r>
        <w:rPr>
          <w:sz w:val="24"/>
        </w:rPr>
        <w:t xml:space="preserve">1、工程经费估算 </w:t>
      </w:r>
    </w:p>
    <w:p>
      <w:pPr>
        <w:spacing w:line="360" w:lineRule="auto"/>
        <w:ind w:right="480" w:firstLine="480" w:firstLineChars="200"/>
        <w:rPr>
          <w:sz w:val="24"/>
        </w:rPr>
      </w:pPr>
      <w:r>
        <w:rPr>
          <w:sz w:val="24"/>
        </w:rPr>
        <w:t>矿山生态修复工程总投资估算</w:t>
      </w:r>
      <w:r>
        <w:rPr>
          <w:rFonts w:hint="eastAsia"/>
          <w:sz w:val="24"/>
        </w:rPr>
        <w:t>见</w:t>
      </w:r>
      <w:r>
        <w:rPr>
          <w:sz w:val="24"/>
        </w:rPr>
        <w:t>表5-</w:t>
      </w:r>
      <w:r>
        <w:rPr>
          <w:rFonts w:hint="eastAsia"/>
          <w:sz w:val="24"/>
        </w:rPr>
        <w:t>,9</w:t>
      </w:r>
      <w:r>
        <w:rPr>
          <w:sz w:val="24"/>
        </w:rPr>
        <w:t>所示，方案适用年限（11.7a）内矿山生态修复工程总投资</w:t>
      </w:r>
      <w:r>
        <w:rPr>
          <w:rFonts w:hint="eastAsia"/>
          <w:sz w:val="24"/>
        </w:rPr>
        <w:t>*****</w:t>
      </w:r>
      <w:r>
        <w:rPr>
          <w:sz w:val="24"/>
        </w:rPr>
        <w:t>万元（其中：工程费</w:t>
      </w:r>
      <w:r>
        <w:rPr>
          <w:rFonts w:hint="eastAsia"/>
          <w:sz w:val="24"/>
        </w:rPr>
        <w:t>****</w:t>
      </w:r>
      <w:r>
        <w:rPr>
          <w:sz w:val="24"/>
        </w:rPr>
        <w:t>万元，其他费用</w:t>
      </w:r>
      <w:r>
        <w:rPr>
          <w:rFonts w:hint="eastAsia"/>
          <w:sz w:val="24"/>
        </w:rPr>
        <w:t>****</w:t>
      </w:r>
      <w:r>
        <w:rPr>
          <w:sz w:val="24"/>
        </w:rPr>
        <w:t>万元，不可预见费用</w:t>
      </w:r>
      <w:r>
        <w:rPr>
          <w:rFonts w:hint="eastAsia"/>
          <w:sz w:val="24"/>
        </w:rPr>
        <w:t>****</w:t>
      </w:r>
      <w:r>
        <w:rPr>
          <w:sz w:val="24"/>
        </w:rPr>
        <w:t>万元）。</w:t>
      </w:r>
    </w:p>
    <w:p>
      <w:pPr>
        <w:pStyle w:val="2"/>
        <w:spacing w:after="0"/>
        <w:rPr>
          <w:kern w:val="0"/>
          <w:sz w:val="24"/>
          <w:szCs w:val="21"/>
        </w:rPr>
      </w:pPr>
      <w:r>
        <w:rPr>
          <w:kern w:val="0"/>
          <w:sz w:val="24"/>
          <w:szCs w:val="21"/>
        </w:rPr>
        <w:t>表5-9    方案适用年限内矿山生态保护修复工程费用估算总表  单位：万元</w:t>
      </w:r>
    </w:p>
    <w:tbl>
      <w:tblPr>
        <w:tblStyle w:val="34"/>
        <w:tblpPr w:leftFromText="180" w:rightFromText="180" w:vertAnchor="text" w:horzAnchor="page" w:tblpXSpec="center" w:tblpY="292"/>
        <w:tblOverlap w:val="never"/>
        <w:tblW w:w="9038" w:type="dxa"/>
        <w:jc w:val="center"/>
        <w:tblLayout w:type="fixed"/>
        <w:tblCellMar>
          <w:top w:w="0" w:type="dxa"/>
          <w:left w:w="108" w:type="dxa"/>
          <w:bottom w:w="0" w:type="dxa"/>
          <w:right w:w="108" w:type="dxa"/>
        </w:tblCellMar>
      </w:tblPr>
      <w:tblGrid>
        <w:gridCol w:w="1618"/>
        <w:gridCol w:w="2371"/>
        <w:gridCol w:w="1611"/>
        <w:gridCol w:w="1340"/>
        <w:gridCol w:w="1262"/>
        <w:gridCol w:w="836"/>
      </w:tblGrid>
      <w:tr>
        <w:tblPrEx>
          <w:tblCellMar>
            <w:top w:w="0" w:type="dxa"/>
            <w:left w:w="108" w:type="dxa"/>
            <w:bottom w:w="0" w:type="dxa"/>
            <w:right w:w="108" w:type="dxa"/>
          </w:tblCellMar>
        </w:tblPrEx>
        <w:trPr>
          <w:trHeight w:val="591"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序号</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工程项目名称或费用名称</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费用或计算基数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计费比例（%）</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合计</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备注</w:t>
            </w:r>
          </w:p>
        </w:tc>
      </w:tr>
      <w:tr>
        <w:tblPrEx>
          <w:tblCellMar>
            <w:top w:w="0" w:type="dxa"/>
            <w:left w:w="108" w:type="dxa"/>
            <w:bottom w:w="0" w:type="dxa"/>
            <w:right w:w="108" w:type="dxa"/>
          </w:tblCellMar>
        </w:tblPrEx>
        <w:trPr>
          <w:trHeight w:val="591"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一</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工程施工费（=1+2+3+4）</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304.23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81.97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9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生态保护保育工程施工费</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0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生态修复工程施工费</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252.25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67.96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0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监测和后期管护工程</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51.98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14.00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0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其他工程</w:t>
            </w:r>
          </w:p>
        </w:tc>
        <w:tc>
          <w:tcPr>
            <w:tcW w:w="1611" w:type="dxa"/>
            <w:tcBorders>
              <w:top w:val="nil"/>
              <w:left w:val="nil"/>
              <w:bottom w:val="nil"/>
              <w:right w:val="nil"/>
            </w:tcBorders>
            <w:shd w:val="clear" w:color="auto" w:fill="auto"/>
            <w:noWrap/>
            <w:vAlign w:val="center"/>
          </w:tcPr>
          <w:p>
            <w:pPr>
              <w:widowControl/>
              <w:jc w:val="center"/>
              <w:textAlignment w:val="center"/>
              <w:rPr>
                <w:rFonts w:ascii="宋体" w:hAnsi="宋体" w:cs="宋体"/>
                <w:szCs w:val="21"/>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0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二</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其他费用</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szCs w:val="21"/>
              </w:rPr>
              <w:t>36.51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9.83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00"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三</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不可预见费</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30.42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8.20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21" w:hRule="atLeast"/>
          <w:jc w:val="center"/>
        </w:trPr>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四</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预留费用</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Cs w:val="21"/>
              </w:rPr>
            </w:pPr>
          </w:p>
        </w:tc>
      </w:tr>
      <w:tr>
        <w:tblPrEx>
          <w:tblCellMar>
            <w:top w:w="0" w:type="dxa"/>
            <w:left w:w="108" w:type="dxa"/>
            <w:bottom w:w="0" w:type="dxa"/>
            <w:right w:w="108" w:type="dxa"/>
          </w:tblCellMar>
        </w:tblPrEx>
        <w:trPr>
          <w:trHeight w:val="330" w:hRule="atLeast"/>
          <w:jc w:val="center"/>
        </w:trPr>
        <w:tc>
          <w:tcPr>
            <w:tcW w:w="3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合计</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371.16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Cs w:val="21"/>
              </w:rPr>
            </w:pPr>
          </w:p>
        </w:tc>
      </w:tr>
    </w:tbl>
    <w:p>
      <w:pPr>
        <w:spacing w:line="360" w:lineRule="auto"/>
        <w:rPr>
          <w:sz w:val="24"/>
        </w:rPr>
      </w:pPr>
    </w:p>
    <w:p>
      <w:pPr>
        <w:spacing w:line="360" w:lineRule="auto"/>
        <w:ind w:firstLine="480" w:firstLineChars="200"/>
        <w:rPr>
          <w:sz w:val="24"/>
        </w:rPr>
      </w:pPr>
      <w:r>
        <w:rPr>
          <w:sz w:val="24"/>
        </w:rPr>
        <w:t>方案适用年限内矿山各工程类别生态修复工程费用估算</w:t>
      </w:r>
      <w:r>
        <w:rPr>
          <w:rFonts w:hint="eastAsia"/>
          <w:sz w:val="24"/>
        </w:rPr>
        <w:t>汇见</w:t>
      </w:r>
      <w:r>
        <w:rPr>
          <w:sz w:val="24"/>
        </w:rPr>
        <w:t>表</w:t>
      </w:r>
      <w:r>
        <w:rPr>
          <w:rFonts w:hint="eastAsia"/>
          <w:sz w:val="24"/>
        </w:rPr>
        <w:t>5-10，</w:t>
      </w:r>
      <w:r>
        <w:rPr>
          <w:sz w:val="24"/>
        </w:rPr>
        <w:t>方案适用年限内各年度生态保护修复工程量及费用估算表</w:t>
      </w:r>
      <w:r>
        <w:rPr>
          <w:rFonts w:hint="eastAsia"/>
          <w:sz w:val="24"/>
        </w:rPr>
        <w:t>见表5-11。</w:t>
      </w:r>
    </w:p>
    <w:p>
      <w:pPr>
        <w:spacing w:line="360" w:lineRule="auto"/>
        <w:ind w:right="480" w:firstLine="480" w:firstLineChars="200"/>
        <w:rPr>
          <w:sz w:val="24"/>
        </w:rPr>
        <w:sectPr>
          <w:pgSz w:w="11907" w:h="16840"/>
          <w:pgMar w:top="1418" w:right="1701" w:bottom="1701" w:left="1797" w:header="720" w:footer="720" w:gutter="0"/>
          <w:cols w:space="720" w:num="1"/>
          <w:docGrid w:linePitch="286" w:charSpace="0"/>
        </w:sectPr>
      </w:pPr>
    </w:p>
    <w:p>
      <w:pPr>
        <w:pStyle w:val="2"/>
        <w:spacing w:after="0"/>
        <w:jc w:val="center"/>
        <w:rPr>
          <w:kern w:val="0"/>
          <w:sz w:val="24"/>
          <w:szCs w:val="21"/>
        </w:rPr>
      </w:pPr>
      <w:bookmarkStart w:id="86" w:name="_Toc15396"/>
      <w:r>
        <w:rPr>
          <w:kern w:val="0"/>
          <w:sz w:val="24"/>
          <w:szCs w:val="21"/>
        </w:rPr>
        <w:t>表5-10       方案适用年限内矿山各工程类别生态修复工程费用估算总表（单位：元）</w:t>
      </w:r>
      <w:bookmarkEnd w:id="86"/>
    </w:p>
    <w:tbl>
      <w:tblPr>
        <w:tblStyle w:val="34"/>
        <w:tblW w:w="22268" w:type="dxa"/>
        <w:tblInd w:w="93" w:type="dxa"/>
        <w:tblLayout w:type="autofit"/>
        <w:tblCellMar>
          <w:top w:w="0" w:type="dxa"/>
          <w:left w:w="108" w:type="dxa"/>
          <w:bottom w:w="0" w:type="dxa"/>
          <w:right w:w="108" w:type="dxa"/>
        </w:tblCellMar>
      </w:tblPr>
      <w:tblGrid>
        <w:gridCol w:w="909"/>
        <w:gridCol w:w="624"/>
        <w:gridCol w:w="3819"/>
        <w:gridCol w:w="3765"/>
        <w:gridCol w:w="1084"/>
        <w:gridCol w:w="1285"/>
        <w:gridCol w:w="1436"/>
        <w:gridCol w:w="1833"/>
        <w:gridCol w:w="1374"/>
        <w:gridCol w:w="3077"/>
        <w:gridCol w:w="3062"/>
      </w:tblGrid>
      <w:tr>
        <w:tblPrEx>
          <w:tblCellMar>
            <w:top w:w="0" w:type="dxa"/>
            <w:left w:w="108" w:type="dxa"/>
            <w:bottom w:w="0" w:type="dxa"/>
            <w:right w:w="108" w:type="dxa"/>
          </w:tblCellMar>
        </w:tblPrEx>
        <w:trPr>
          <w:trHeight w:val="270" w:hRule="atLeast"/>
        </w:trPr>
        <w:tc>
          <w:tcPr>
            <w:tcW w:w="22268"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方案适用年限内矿山各工程类别生态修复工程费用估算总表（单位：元）</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序号</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工程方案或费用名称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工程量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其它费用</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不可预见费</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总投资</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8=6*7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9=8*12%</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10=8*10%</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11=8+9+10</w:t>
            </w:r>
          </w:p>
        </w:tc>
      </w:tr>
      <w:tr>
        <w:tblPrEx>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一</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土地复垦生物多样性修复工程</w:t>
            </w:r>
          </w:p>
        </w:tc>
        <w:tc>
          <w:tcPr>
            <w:tcW w:w="4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露采场平台外侧工程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防护栏(150mm×3mm)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r>
              <w:rPr>
                <w:sz w:val="22"/>
                <w:szCs w:val="22"/>
              </w:rPr>
              <w:t>9933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29799</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钢钉(15mm×10mm)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个</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9933</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0.65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打孔孔深（10mm×15mm）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99.33</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397.32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5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复绿工程</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覆土工程（</w:t>
            </w:r>
            <w:r>
              <w:rPr>
                <w:kern w:val="0"/>
                <w:sz w:val="18"/>
                <w:szCs w:val="18"/>
              </w:rPr>
              <w:t>50cm）（外购土方，运距10km）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4米2的货车拉13方，成本60元/车</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Cs w:val="21"/>
              </w:rPr>
            </w:pPr>
            <w:r>
              <w:rPr>
                <w:szCs w:val="21"/>
              </w:rPr>
              <w:t>12816.5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5895.59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33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土壤培肥（有机肥）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 w:val="18"/>
                <w:szCs w:val="18"/>
              </w:rPr>
            </w:pPr>
            <w:r>
              <w:rPr>
                <w:rFonts w:eastAsia="等线"/>
                <w:sz w:val="18"/>
                <w:szCs w:val="18"/>
              </w:rPr>
              <w:t>19225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1153.50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土壤培肥（保水剂）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 w:val="18"/>
                <w:szCs w:val="18"/>
              </w:rPr>
            </w:pPr>
            <w:r>
              <w:rPr>
                <w:rFonts w:eastAsia="等线"/>
                <w:sz w:val="18"/>
                <w:szCs w:val="18"/>
              </w:rPr>
              <w:t>1922.5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2906.82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2422.35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平台种植灌木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株</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3311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5884.31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4903.59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r>
              <w:rPr>
                <w:kern w:val="0"/>
                <w:szCs w:val="21"/>
              </w:rPr>
              <w:t>工业广场种植乔木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r>
              <w:rPr>
                <w:kern w:val="0"/>
                <w:sz w:val="22"/>
                <w:szCs w:val="22"/>
              </w:rPr>
              <w:t>株</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7487.62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6239.68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撒播草籽</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hm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2.5633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2483.22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2069.35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锚钉打孔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3201.74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19210.44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16008.70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锚钉（HRB400）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kg</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5343.94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2507.38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2089.48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绿色土工布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33110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7270.96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6059.13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爬藤植物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株</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11796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11961.14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9967.62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红砖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147450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8847.00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7372.50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矿部和工业广场建筑拆除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1485.3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65665.71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54721.42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矿部和工业广场渣土清运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1485.3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5065.47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4221.22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 w:val="22"/>
                <w:szCs w:val="22"/>
              </w:rPr>
              <w:t>小</w:t>
            </w:r>
            <w:r>
              <w:rPr>
                <w:kern w:val="0"/>
                <w:sz w:val="22"/>
                <w:szCs w:val="22"/>
              </w:rPr>
              <w:t>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b/>
                <w:kern w:val="0"/>
                <w:sz w:val="22"/>
                <w:szCs w:val="22"/>
              </w:rPr>
            </w:pPr>
            <w:r>
              <w:rPr>
                <w:rFonts w:hint="eastAsia"/>
                <w:b/>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 w:val="22"/>
                <w:szCs w:val="22"/>
              </w:rPr>
            </w:pPr>
            <w:r>
              <w:rPr>
                <w:rFonts w:hint="eastAsia"/>
                <w:b/>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 w:val="22"/>
                <w:szCs w:val="22"/>
              </w:rPr>
            </w:pPr>
            <w:r>
              <w:rPr>
                <w:rFonts w:hint="eastAsia"/>
                <w:b/>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 w:val="22"/>
                <w:szCs w:val="22"/>
              </w:rPr>
            </w:pPr>
            <w:r>
              <w:rPr>
                <w:rFonts w:hint="eastAsia"/>
                <w:b/>
                <w:sz w:val="22"/>
                <w:szCs w:val="22"/>
              </w:rPr>
              <w:t>*********</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二</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水生态水环境修复工程</w:t>
            </w:r>
          </w:p>
        </w:tc>
        <w:tc>
          <w:tcPr>
            <w:tcW w:w="4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露采场沉淀池（1）</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挖土方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Cs w:val="21"/>
              </w:rPr>
            </w:pPr>
            <w:r>
              <w:rPr>
                <w:szCs w:val="21"/>
              </w:rPr>
              <w:t>170.1</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1052.65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877.21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弃方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170.1</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272.09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226.74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防渗砼</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24.3</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1275.14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1062.61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浆砌片石</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108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5887.08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4905.90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砂浆抹面（厚0.03m）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105.84</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603.67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503.06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防护栏</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72</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1504.31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1253.59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4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清淤工程</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沉淀池清淤</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796.07</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2551.56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2126.30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 w:val="22"/>
                <w:szCs w:val="22"/>
              </w:rPr>
              <w:t>小</w:t>
            </w:r>
            <w:r>
              <w:rPr>
                <w:kern w:val="0"/>
                <w:sz w:val="22"/>
                <w:szCs w:val="22"/>
              </w:rPr>
              <w:t>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b/>
                <w:bCs/>
                <w:sz w:val="22"/>
                <w:szCs w:val="22"/>
              </w:rPr>
            </w:pPr>
            <w:r>
              <w:rPr>
                <w:rFonts w:hint="eastAsia"/>
                <w:b/>
                <w:bCs/>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b/>
                <w:bCs/>
                <w:sz w:val="22"/>
                <w:szCs w:val="22"/>
              </w:rPr>
            </w:pPr>
            <w:r>
              <w:rPr>
                <w:rFonts w:hint="eastAsia"/>
                <w:b/>
                <w:bCs/>
                <w:kern w:val="0"/>
                <w:sz w:val="22"/>
                <w:szCs w:val="22"/>
              </w:rPr>
              <w:t>******</w:t>
            </w:r>
            <w:r>
              <w:rPr>
                <w:b/>
                <w:bCs/>
                <w:kern w:val="0"/>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b/>
                <w:bCs/>
                <w:sz w:val="22"/>
                <w:szCs w:val="22"/>
              </w:rPr>
            </w:pPr>
            <w:r>
              <w:rPr>
                <w:rFonts w:hint="eastAsia"/>
                <w:b/>
                <w:bCs/>
                <w:kern w:val="0"/>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b/>
                <w:bCs/>
                <w:sz w:val="22"/>
                <w:szCs w:val="22"/>
              </w:rPr>
            </w:pPr>
            <w:r>
              <w:rPr>
                <w:rFonts w:hint="eastAsia"/>
                <w:b/>
                <w:bCs/>
                <w:kern w:val="0"/>
                <w:sz w:val="22"/>
                <w:szCs w:val="22"/>
              </w:rPr>
              <w:t>***********</w:t>
            </w:r>
            <w:r>
              <w:rPr>
                <w:b/>
                <w:bCs/>
                <w:kern w:val="0"/>
                <w:sz w:val="22"/>
                <w:szCs w:val="22"/>
              </w:rPr>
              <w:t xml:space="preserve"> </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三</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地质灾害消除隐患</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东南侧边坡</w:t>
            </w:r>
            <w:r>
              <w:rPr>
                <w:rFonts w:hint="eastAsia"/>
                <w:kern w:val="0"/>
                <w:sz w:val="22"/>
                <w:szCs w:val="22"/>
              </w:rPr>
              <w:t>（60米以上）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土方开挖</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r>
              <w:rPr>
                <w:sz w:val="22"/>
                <w:szCs w:val="22"/>
              </w:rPr>
              <w:t>180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928.26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土方回填</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175</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902.48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土壤培肥（有机肥）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160.5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9.63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土壤培肥（保水剂）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16.05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20.22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草皮护坡</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hm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16.15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restart"/>
            <w:tcBorders>
              <w:top w:val="single" w:color="000000" w:sz="4" w:space="0"/>
              <w:left w:val="single" w:color="000000" w:sz="4" w:space="0"/>
              <w:right w:val="single" w:color="000000" w:sz="4" w:space="0"/>
            </w:tcBorders>
            <w:shd w:val="clear" w:color="auto" w:fill="auto"/>
            <w:noWrap/>
            <w:vAlign w:val="center"/>
          </w:tcPr>
          <w:p>
            <w:pPr>
              <w:jc w:val="center"/>
              <w:rPr>
                <w:sz w:val="22"/>
                <w:szCs w:val="22"/>
              </w:rPr>
            </w:pPr>
            <w:r>
              <w:rPr>
                <w:kern w:val="0"/>
                <w:sz w:val="22"/>
                <w:szCs w:val="22"/>
              </w:rPr>
              <w:t>东南侧边坡</w:t>
            </w:r>
            <w:r>
              <w:rPr>
                <w:rFonts w:hint="eastAsia"/>
                <w:kern w:val="0"/>
                <w:sz w:val="22"/>
                <w:szCs w:val="22"/>
              </w:rPr>
              <w:t>（50-60m）</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 w:val="18"/>
                <w:szCs w:val="18"/>
              </w:rPr>
            </w:pPr>
            <w:r>
              <w:rPr>
                <w:sz w:val="18"/>
                <w:szCs w:val="18"/>
              </w:rPr>
              <w:t>挖土方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等线"/>
                <w:kern w:val="0"/>
                <w:szCs w:val="21"/>
              </w:rPr>
            </w:pPr>
            <w:r>
              <w:rPr>
                <w:rFonts w:eastAsia="等线"/>
                <w:szCs w:val="21"/>
              </w:rPr>
              <w:t>m</w:t>
            </w:r>
            <w:r>
              <w:rPr>
                <w:rFonts w:eastAsia="等线"/>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 w:val="22"/>
                <w:szCs w:val="22"/>
              </w:rPr>
            </w:pPr>
            <w:r>
              <w:rPr>
                <w:rFonts w:hint="eastAsia"/>
                <w:sz w:val="22"/>
                <w:szCs w:val="22"/>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1160.33</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left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 w:val="18"/>
                <w:szCs w:val="18"/>
              </w:rPr>
            </w:pPr>
            <w:r>
              <w:rPr>
                <w:sz w:val="18"/>
                <w:szCs w:val="18"/>
              </w:rPr>
              <w:t>浆砌块石</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r>
              <w:rPr>
                <w:rFonts w:eastAsia="等线"/>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15227.14</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left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18"/>
                <w:szCs w:val="18"/>
              </w:rPr>
            </w:pPr>
            <w:r>
              <w:rPr>
                <w:sz w:val="18"/>
                <w:szCs w:val="18"/>
              </w:rPr>
              <w:t>砂浆抹面2cm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r>
              <w:rPr>
                <w:rFonts w:eastAsia="等线"/>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2160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10266.48</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left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 w:val="18"/>
                <w:szCs w:val="18"/>
              </w:rPr>
            </w:pPr>
            <w:r>
              <w:rPr>
                <w:rFonts w:eastAsia="等线"/>
                <w:sz w:val="18"/>
                <w:szCs w:val="18"/>
              </w:rPr>
              <w:t>PVC</w:t>
            </w:r>
            <w:r>
              <w:rPr>
                <w:sz w:val="18"/>
                <w:szCs w:val="18"/>
              </w:rPr>
              <w:t>泄水管</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11.16</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境外截水沟（J1）</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挖土方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Cs w:val="21"/>
              </w:rPr>
            </w:pPr>
            <w:r>
              <w:rPr>
                <w:szCs w:val="21"/>
              </w:rPr>
              <w:t>850.42</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4385.62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弃方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732.54</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976.48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浆砌块石</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313.22</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11040.38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砼垫层(厚0.1m)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104.41</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4814.24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砂浆抹面(厚0.02m)</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2037.64</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9684.90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伸缩缝（m</w:t>
            </w:r>
            <w:r>
              <w:rPr>
                <w:kern w:val="0"/>
                <w:szCs w:val="21"/>
                <w:vertAlign w:val="superscript"/>
              </w:rPr>
              <w:t>2</w:t>
            </w:r>
            <w:r>
              <w:rPr>
                <w:kern w:val="0"/>
                <w:szCs w:val="21"/>
              </w:rPr>
              <w:t>）</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8.89</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291.07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泄洪道</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挖</w:t>
            </w:r>
            <w:r>
              <w:rPr>
                <w:kern w:val="0"/>
                <w:sz w:val="18"/>
                <w:szCs w:val="18"/>
              </w:rPr>
              <w:t>方</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Cs w:val="21"/>
              </w:rPr>
            </w:pPr>
            <w:r>
              <w:rPr>
                <w:szCs w:val="21"/>
              </w:rPr>
              <w:t>219</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1129.38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盖板（混凝土）</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43.8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浆砌块石</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70.08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454.25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现浇底板</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43.8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437.29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砂浆抹面</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233.6</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47.53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伸缩缝</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1.54</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327.41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60.51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50.42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露采场围栏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铁丝网围栏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1321</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174.11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警示标志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警示牌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块</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15</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375.00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kern w:val="0"/>
                <w:sz w:val="22"/>
                <w:szCs w:val="22"/>
              </w:rPr>
              <w:t>小</w:t>
            </w:r>
            <w:r>
              <w:rPr>
                <w:kern w:val="0"/>
                <w:sz w:val="22"/>
                <w:szCs w:val="22"/>
              </w:rPr>
              <w:t>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r>
      <w:tr>
        <w:tblPrEx>
          <w:tblCellMar>
            <w:top w:w="0" w:type="dxa"/>
            <w:left w:w="108" w:type="dxa"/>
            <w:bottom w:w="0" w:type="dxa"/>
            <w:right w:w="108" w:type="dxa"/>
          </w:tblCellMar>
        </w:tblPrEx>
        <w:trPr>
          <w:trHeight w:val="90" w:hRule="atLeast"/>
        </w:trPr>
        <w:tc>
          <w:tcPr>
            <w:tcW w:w="13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kern w:val="0"/>
                <w:szCs w:val="21"/>
              </w:rPr>
              <w:t>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r>
      <w:tr>
        <w:tblPrEx>
          <w:tblCellMar>
            <w:top w:w="0" w:type="dxa"/>
            <w:left w:w="108" w:type="dxa"/>
            <w:bottom w:w="0" w:type="dxa"/>
            <w:right w:w="108" w:type="dxa"/>
          </w:tblCellMar>
        </w:tblPrEx>
        <w:trPr>
          <w:trHeight w:val="27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四</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监测工程</w:t>
            </w:r>
          </w:p>
        </w:tc>
        <w:tc>
          <w:tcPr>
            <w:tcW w:w="4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地质灾害监测</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崩塌、滑坡、泥石流、地面塌陷监测</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工班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Cs w:val="21"/>
              </w:rPr>
            </w:pPr>
            <w:r>
              <w:rPr>
                <w:szCs w:val="21"/>
              </w:rPr>
              <w:t>180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88.28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水质监测</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组</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336.00 </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植被监测</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次</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96.00 </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88.28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 xml:space="preserve">847.49 </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r>
      <w:tr>
        <w:tblPrEx>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rFonts w:hint="eastAsia"/>
                <w:kern w:val="0"/>
                <w:szCs w:val="21"/>
              </w:rPr>
              <w:t>小</w:t>
            </w:r>
            <w:r>
              <w:rPr>
                <w:kern w:val="0"/>
                <w:szCs w:val="21"/>
              </w:rPr>
              <w:t>计</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r>
      <w:tr>
        <w:tblPrEx>
          <w:tblCellMar>
            <w:top w:w="0" w:type="dxa"/>
            <w:left w:w="108" w:type="dxa"/>
            <w:bottom w:w="0" w:type="dxa"/>
            <w:right w:w="108" w:type="dxa"/>
          </w:tblCellMar>
        </w:tblPrEx>
        <w:trPr>
          <w:trHeight w:val="27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五</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管护工程</w:t>
            </w: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管护年限</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年</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3.00 </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Cs w:val="21"/>
              </w:rPr>
            </w:pPr>
          </w:p>
        </w:tc>
      </w:tr>
      <w:tr>
        <w:tblPrEx>
          <w:tblCellMar>
            <w:top w:w="0" w:type="dxa"/>
            <w:left w:w="108" w:type="dxa"/>
            <w:bottom w:w="0" w:type="dxa"/>
            <w:right w:w="108" w:type="dxa"/>
          </w:tblCellMar>
        </w:tblPrEx>
        <w:trPr>
          <w:trHeight w:val="285"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管护工程量</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元/hm</w:t>
            </w:r>
            <w:r>
              <w:rPr>
                <w:kern w:val="0"/>
                <w:szCs w:val="21"/>
                <w:vertAlign w:val="superscript"/>
              </w:rPr>
              <w:t>2</w:t>
            </w:r>
            <w:r>
              <w:rPr>
                <w:kern w:val="0"/>
                <w:szCs w:val="21"/>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2.5633</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12000.00 </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 w:val="22"/>
                <w:szCs w:val="22"/>
              </w:rPr>
            </w:pPr>
            <w:r>
              <w:rPr>
                <w:rFonts w:hint="eastAsia"/>
                <w:sz w:val="22"/>
                <w:szCs w:val="22"/>
              </w:rPr>
              <w:t>*******</w:t>
            </w:r>
            <w:r>
              <w:rPr>
                <w:sz w:val="22"/>
                <w:szCs w:val="22"/>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w:t>
            </w:r>
            <w:r>
              <w:rPr>
                <w:sz w:val="22"/>
                <w:szCs w:val="22"/>
              </w:rPr>
              <w:t xml:space="preserve"> </w:t>
            </w:r>
          </w:p>
        </w:tc>
      </w:tr>
      <w:tr>
        <w:tblPrEx>
          <w:tblCellMar>
            <w:top w:w="0" w:type="dxa"/>
            <w:left w:w="108" w:type="dxa"/>
            <w:bottom w:w="0" w:type="dxa"/>
            <w:right w:w="108" w:type="dxa"/>
          </w:tblCellMar>
        </w:tblPrEx>
        <w:trPr>
          <w:trHeight w:val="27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7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rFonts w:hint="eastAsia"/>
                <w:kern w:val="0"/>
                <w:szCs w:val="21"/>
              </w:rPr>
              <w:t>小</w:t>
            </w:r>
            <w:r>
              <w:rPr>
                <w:kern w:val="0"/>
                <w:szCs w:val="21"/>
              </w:rPr>
              <w:t>计</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szCs w:val="21"/>
              </w:rPr>
            </w:pPr>
            <w:r>
              <w:rPr>
                <w:rFonts w:hint="eastAsia"/>
                <w:b/>
                <w:szCs w:val="21"/>
              </w:rPr>
              <w:t>*******</w:t>
            </w:r>
            <w:r>
              <w:rPr>
                <w:b/>
                <w:szCs w:val="21"/>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r>
      <w:tr>
        <w:tblPrEx>
          <w:tblCellMar>
            <w:top w:w="0" w:type="dxa"/>
            <w:left w:w="108" w:type="dxa"/>
            <w:bottom w:w="0" w:type="dxa"/>
            <w:right w:w="108" w:type="dxa"/>
          </w:tblCellMar>
        </w:tblPrEx>
        <w:trPr>
          <w:trHeight w:val="270" w:hRule="atLeast"/>
        </w:trPr>
        <w:tc>
          <w:tcPr>
            <w:tcW w:w="13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合计</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szCs w:val="21"/>
              </w:rPr>
            </w:pPr>
            <w:r>
              <w:rPr>
                <w:rFonts w:hint="eastAsia"/>
                <w:b/>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szCs w:val="21"/>
              </w:rPr>
            </w:pPr>
            <w:r>
              <w:rPr>
                <w:rFonts w:hint="eastAsia"/>
                <w:b/>
                <w:szCs w:val="21"/>
              </w:rPr>
              <w:t>*********</w:t>
            </w:r>
          </w:p>
        </w:tc>
      </w:tr>
    </w:tbl>
    <w:p/>
    <w:p>
      <w:pPr>
        <w:pStyle w:val="2"/>
        <w:sectPr>
          <w:pgSz w:w="23811" w:h="16838" w:orient="landscape"/>
          <w:pgMar w:top="851" w:right="720" w:bottom="851" w:left="720" w:header="720" w:footer="720" w:gutter="0"/>
          <w:cols w:space="720" w:num="1"/>
          <w:docGrid w:linePitch="286" w:charSpace="0"/>
        </w:sectPr>
      </w:pPr>
    </w:p>
    <w:tbl>
      <w:tblPr>
        <w:tblStyle w:val="34"/>
        <w:tblW w:w="30202" w:type="dxa"/>
        <w:tblInd w:w="93"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096"/>
        <w:gridCol w:w="1047"/>
        <w:gridCol w:w="2636"/>
        <w:gridCol w:w="773"/>
        <w:gridCol w:w="999"/>
        <w:gridCol w:w="1028"/>
        <w:gridCol w:w="1176"/>
        <w:gridCol w:w="972"/>
        <w:gridCol w:w="1082"/>
        <w:gridCol w:w="1082"/>
        <w:gridCol w:w="1082"/>
        <w:gridCol w:w="1082"/>
        <w:gridCol w:w="1082"/>
        <w:gridCol w:w="1082"/>
        <w:gridCol w:w="1082"/>
        <w:gridCol w:w="1082"/>
        <w:gridCol w:w="1082"/>
        <w:gridCol w:w="972"/>
        <w:gridCol w:w="1082"/>
        <w:gridCol w:w="956"/>
        <w:gridCol w:w="1192"/>
        <w:gridCol w:w="972"/>
        <w:gridCol w:w="1082"/>
        <w:gridCol w:w="956"/>
        <w:gridCol w:w="1088"/>
        <w:gridCol w:w="1176"/>
        <w:gridCol w:w="126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202" w:type="dxa"/>
            <w:gridSpan w:val="27"/>
            <w:tcBorders>
              <w:bottom w:val="single" w:color="000000" w:sz="4" w:space="0"/>
            </w:tcBorders>
            <w:shd w:val="clear" w:color="auto" w:fill="auto"/>
            <w:vAlign w:val="center"/>
          </w:tcPr>
          <w:p>
            <w:pPr>
              <w:widowControl/>
              <w:jc w:val="center"/>
              <w:textAlignment w:val="center"/>
              <w:rPr>
                <w:sz w:val="22"/>
                <w:szCs w:val="22"/>
              </w:rPr>
            </w:pPr>
            <w:r>
              <w:rPr>
                <w:rFonts w:hint="eastAsia"/>
                <w:kern w:val="0"/>
                <w:sz w:val="24"/>
                <w:szCs w:val="21"/>
              </w:rPr>
              <w:t xml:space="preserve">表5-11    </w:t>
            </w:r>
            <w:r>
              <w:rPr>
                <w:kern w:val="0"/>
                <w:sz w:val="24"/>
                <w:szCs w:val="21"/>
              </w:rPr>
              <w:t>方案适用年限内各年度生态保护修复工程量及费用估算表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05" w:hRule="atLeast"/>
        </w:trPr>
        <w:tc>
          <w:tcPr>
            <w:tcW w:w="1096"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工程类别</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工程内容</w:t>
            </w:r>
          </w:p>
        </w:tc>
        <w:tc>
          <w:tcPr>
            <w:tcW w:w="2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分项工程名称</w:t>
            </w:r>
          </w:p>
        </w:tc>
        <w:tc>
          <w:tcPr>
            <w:tcW w:w="7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计量单位</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2023.03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2024.03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2024.03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2025.03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2025.03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2026.03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2026.03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2027.03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2027.03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2028.03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2028.03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2029.03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2029.03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2030.03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2030.03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2031.10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2031.12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2032.10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2034.12 </w:t>
            </w:r>
          </w:p>
        </w:tc>
        <w:tc>
          <w:tcPr>
            <w:tcW w:w="2384" w:type="dxa"/>
            <w:gridSpan w:val="2"/>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sz w:val="22"/>
                <w:szCs w:val="22"/>
              </w:rPr>
            </w:pPr>
            <w:r>
              <w:rPr>
                <w:kern w:val="0"/>
                <w:sz w:val="22"/>
                <w:szCs w:val="22"/>
              </w:rPr>
              <w:t>合计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2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7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2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第1年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第2年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第3年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第4年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第5年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第6年</w:t>
            </w:r>
          </w:p>
        </w:tc>
        <w:tc>
          <w:tcPr>
            <w:tcW w:w="20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第7年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第7.7年</w:t>
            </w:r>
          </w:p>
        </w:tc>
        <w:tc>
          <w:tcPr>
            <w:tcW w:w="20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闭坑修复期(第8.7年)</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管护期(第8.7-11.7年)</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总工作量</w:t>
            </w:r>
          </w:p>
        </w:tc>
        <w:tc>
          <w:tcPr>
            <w:tcW w:w="1192"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sz w:val="22"/>
                <w:szCs w:val="22"/>
              </w:rPr>
            </w:pPr>
            <w:r>
              <w:rPr>
                <w:rFonts w:hint="eastAsia"/>
                <w:kern w:val="0"/>
                <w:sz w:val="22"/>
                <w:szCs w:val="22"/>
              </w:rPr>
              <w:t>施工费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60" w:hRule="atLeast"/>
        </w:trPr>
        <w:tc>
          <w:tcPr>
            <w:tcW w:w="4608" w:type="dxa"/>
            <w:gridSpan w:val="3"/>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工程名称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6.00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7.00 </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费用</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r>
              <w:rPr>
                <w:rFonts w:hint="eastAsia"/>
                <w:sz w:val="22"/>
                <w:szCs w:val="22"/>
              </w:rPr>
              <w:t>费用</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工作量</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r>
              <w:rPr>
                <w:rFonts w:hint="eastAsia"/>
                <w:sz w:val="22"/>
                <w:szCs w:val="22"/>
              </w:rPr>
              <w:t>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tcBorders>
            <w:shd w:val="clear" w:color="auto" w:fill="auto"/>
            <w:noWrap/>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trPr>
        <w:tc>
          <w:tcPr>
            <w:tcW w:w="1096"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土地复垦生物多样性修复工程</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露采场平台外侧工程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防护栏(150mm×3mm)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25.00 </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1215.00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30375.00 </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1785.00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44625.00 </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1815.00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45375.00 </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1806.00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45150.00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1788.00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44700.00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1524.00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38100.00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9933.00 </w:t>
            </w:r>
          </w:p>
        </w:tc>
        <w:tc>
          <w:tcPr>
            <w:tcW w:w="1192"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248325.00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钢钉(15mm×10mm)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个</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0.65 </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1215.00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789.75 </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1785.00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1160.25 </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1815.00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1179.75 </w:t>
            </w:r>
          </w:p>
        </w:tc>
        <w:tc>
          <w:tcPr>
            <w:tcW w:w="10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sz w:val="22"/>
                <w:szCs w:val="22"/>
              </w:rPr>
            </w:pPr>
            <w:r>
              <w:rPr>
                <w:kern w:val="0"/>
                <w:sz w:val="22"/>
                <w:szCs w:val="22"/>
              </w:rPr>
              <w:t xml:space="preserve">1806.00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1173.90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1788.00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1162.20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1524.00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990.60 </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9933.00 </w:t>
            </w:r>
          </w:p>
        </w:tc>
        <w:tc>
          <w:tcPr>
            <w:tcW w:w="1192"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6456.45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打孔孔深（10mm×15mm）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12.15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486.00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17.85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18.15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18.06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722.40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17.88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715.20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15.24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609.60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99.33 </w:t>
            </w:r>
          </w:p>
        </w:tc>
        <w:tc>
          <w:tcPr>
            <w:tcW w:w="1192"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3973.20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复绿工程</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覆土工程（</w:t>
            </w:r>
            <w:r>
              <w:rPr>
                <w:kern w:val="0"/>
                <w:sz w:val="18"/>
                <w:szCs w:val="18"/>
              </w:rPr>
              <w:t>50cm）（外购土方，运距10km）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4米2的货车拉13方，成本60元/车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202.50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931.50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297.50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1368.50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302.50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1391.50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301.00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1384.60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298.00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1370.80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254.00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1168.40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12816.5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center"/>
              <w:rPr>
                <w:kern w:val="0"/>
                <w:sz w:val="22"/>
                <w:szCs w:val="22"/>
              </w:rPr>
            </w:pPr>
            <w:r>
              <w:rPr>
                <w:sz w:val="22"/>
                <w:szCs w:val="22"/>
              </w:rPr>
              <w:t xml:space="preserve">58955.90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土壤培肥（有机肥）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303.75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182.25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446.25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267.75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453.75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272.25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451.50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270.90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447.00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268.20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381.00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228.60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19225 </w:t>
            </w:r>
          </w:p>
        </w:tc>
        <w:tc>
          <w:tcPr>
            <w:tcW w:w="1192" w:type="dxa"/>
            <w:tcBorders>
              <w:top w:val="single" w:color="000000" w:sz="4" w:space="0"/>
              <w:left w:val="single" w:color="000000" w:sz="4" w:space="0"/>
              <w:bottom w:val="nil"/>
            </w:tcBorders>
            <w:shd w:val="clear" w:color="auto" w:fill="auto"/>
            <w:noWrap/>
            <w:vAlign w:val="center"/>
          </w:tcPr>
          <w:p>
            <w:pPr>
              <w:jc w:val="center"/>
              <w:rPr>
                <w:sz w:val="22"/>
                <w:szCs w:val="22"/>
              </w:rPr>
            </w:pPr>
            <w:r>
              <w:rPr>
                <w:sz w:val="22"/>
                <w:szCs w:val="22"/>
              </w:rPr>
              <w:t xml:space="preserve">11535.00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土壤培肥（保水剂）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30.38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382.79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44.62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562.21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45.38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571.79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45.15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568.89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44.70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563.22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38.10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480.06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1922.5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24223.50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平台种植灌木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405.00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5998.05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595.00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8811.95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605.00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8960.05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602.00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8915.62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596.00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8826.76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508.00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7523.48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3311.00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49035.91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kern w:val="0"/>
                <w:szCs w:val="21"/>
              </w:rPr>
            </w:pPr>
            <w:r>
              <w:rPr>
                <w:kern w:val="0"/>
                <w:szCs w:val="21"/>
              </w:rPr>
              <w:t>工业广场种植乔木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r>
              <w:rPr>
                <w:kern w:val="0"/>
                <w:sz w:val="22"/>
                <w:szCs w:val="22"/>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r>
              <w:rPr>
                <w:kern w:val="0"/>
                <w:sz w:val="22"/>
                <w:szCs w:val="22"/>
              </w:rPr>
              <w:t>25.16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kern w:val="0"/>
                <w:sz w:val="22"/>
                <w:szCs w:val="22"/>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r>
              <w:rPr>
                <w:kern w:val="0"/>
                <w:szCs w:val="21"/>
              </w:rPr>
              <w:t>2480</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62396.80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撒播草籽</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hm</w:t>
            </w:r>
            <w:r>
              <w:rPr>
                <w:kern w:val="0"/>
                <w:szCs w:val="21"/>
                <w:vertAlign w:val="superscript"/>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8073.00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0.04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330.99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0.06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476.31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0.06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484.38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0.06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484.38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0.06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484.38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0.05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403.65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2.2322</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20693.52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锚钉打孔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391.64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19582.00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575.37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28768.50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585.03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29251.50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582.13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29106.50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576.33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28816.50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491.24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24562.00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3201.74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160087.00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锚钉（HRB400）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653.67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2555.85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960.33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3754.89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976.47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3818.00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971.63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3799.07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961.93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3761.15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819.91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3205.85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5343.94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20894.81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绿色土工布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4050.00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7411.50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5950.00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10888.50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6050.00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11071.50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6020.00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11016.60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5960.00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10906.80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508.00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929.64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33110.00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60591.30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爬藤植物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8.45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972.00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8213.40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1580</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13351.00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2420.00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20449.00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2408.00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20347.60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2384.00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20144.80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2032.00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17170.40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11796.00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99676.20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红砖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0.50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12150.00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6075.00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19750</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9875.00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30250.00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15125.00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30100.00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15050.00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29800.00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14900.00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25400.00 </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12700.00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147450.00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73725.00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矿部和工业广场建筑拆除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368.42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1485.30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1485.30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547214.23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矿部和工业广场渣土清运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28.42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1485.30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1485.30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42212.23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restar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水生态环境修复工程</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露采场沉淀池</w:t>
            </w: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挖土方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51.57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170.10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8772.06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170.10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8772.06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弃方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13.33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170.10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2267.43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170.10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2267.43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防渗砼</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437.29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24.30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10626.15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24.30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10626.15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浆砌片石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454.25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108.00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49059.00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108.00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49059.00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砂浆抹面（厚0.03m）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47.53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105.84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5030.58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105.84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5030.58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防护栏</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174.11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72.00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12535.92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72.00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12535.92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41" w:hRule="atLeast"/>
        </w:trPr>
        <w:tc>
          <w:tcPr>
            <w:tcW w:w="1096" w:type="dxa"/>
            <w:vMerge w:val="continue"/>
            <w:tcBorders>
              <w:top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清淤工程</w:t>
            </w: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沉淀池清淤</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26.71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rFonts w:hint="eastAsia"/>
                <w:kern w:val="0"/>
                <w:szCs w:val="21"/>
              </w:rPr>
              <w:t>68.04</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rFonts w:hint="eastAsia"/>
                <w:sz w:val="22"/>
                <w:szCs w:val="22"/>
              </w:rPr>
              <w:t>1817.35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r>
              <w:rPr>
                <w:rFonts w:hint="eastAsia"/>
                <w:sz w:val="22"/>
                <w:szCs w:val="22"/>
              </w:rPr>
              <w:t>47.63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r>
              <w:rPr>
                <w:rFonts w:hint="eastAsia"/>
                <w:sz w:val="22"/>
                <w:szCs w:val="22"/>
              </w:rPr>
              <w:t>1272.14</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kern w:val="0"/>
                <w:szCs w:val="21"/>
              </w:rPr>
              <w:t>68.04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rFonts w:hint="eastAsia"/>
                <w:sz w:val="22"/>
                <w:szCs w:val="22"/>
              </w:rPr>
              <w:t>1817.35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r>
              <w:rPr>
                <w:rFonts w:hint="eastAsia"/>
                <w:sz w:val="22"/>
                <w:szCs w:val="22"/>
              </w:rPr>
              <w:t>204.12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r>
              <w:rPr>
                <w:rFonts w:hint="eastAsia"/>
                <w:sz w:val="22"/>
                <w:szCs w:val="22"/>
              </w:rPr>
              <w:t>612.36</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796.07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21263.03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restart"/>
            <w:tcBorders>
              <w:top w:val="nil"/>
              <w:bottom w:val="nil"/>
              <w:right w:val="nil"/>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东南侧边坡</w:t>
            </w:r>
            <w:r>
              <w:rPr>
                <w:rFonts w:hint="eastAsia"/>
                <w:kern w:val="0"/>
                <w:sz w:val="22"/>
                <w:szCs w:val="22"/>
              </w:rPr>
              <w:t>（60m以上）</w:t>
            </w: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土方开挖</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51.57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180.00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9282.60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180.00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9282.60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土方回填</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51.57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9024.75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175.00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9024.75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土壤培肥（有机肥）</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0.60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160.50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96.30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160.50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96.30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土壤培肥（保水剂）</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12.60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16.05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202.23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16.05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202.23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撒播草籽</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hm</w:t>
            </w:r>
            <w:r>
              <w:rPr>
                <w:kern w:val="0"/>
                <w:szCs w:val="21"/>
                <w:vertAlign w:val="superscript"/>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 xml:space="preserve">8073.00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0.02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16</w:t>
            </w:r>
            <w:r>
              <w:rPr>
                <w:rFonts w:hint="eastAsia"/>
                <w:kern w:val="0"/>
                <w:sz w:val="22"/>
                <w:szCs w:val="22"/>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0.02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161.46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right w:val="single" w:color="000000" w:sz="4" w:space="0"/>
            </w:tcBorders>
            <w:shd w:val="clear" w:color="auto" w:fill="auto"/>
            <w:vAlign w:val="center"/>
          </w:tcPr>
          <w:p>
            <w:pPr>
              <w:jc w:val="center"/>
              <w:rPr>
                <w:sz w:val="22"/>
                <w:szCs w:val="22"/>
              </w:rPr>
            </w:pPr>
            <w:r>
              <w:rPr>
                <w:kern w:val="0"/>
                <w:sz w:val="22"/>
                <w:szCs w:val="22"/>
              </w:rPr>
              <w:t>东南侧边坡</w:t>
            </w:r>
            <w:r>
              <w:rPr>
                <w:rFonts w:hint="eastAsia"/>
                <w:kern w:val="0"/>
                <w:sz w:val="22"/>
                <w:szCs w:val="22"/>
              </w:rPr>
              <w:t>(50-60m)</w:t>
            </w: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rPr>
                <w:kern w:val="0"/>
                <w:sz w:val="18"/>
                <w:szCs w:val="18"/>
              </w:rPr>
            </w:pPr>
            <w:r>
              <w:rPr>
                <w:sz w:val="18"/>
                <w:szCs w:val="18"/>
              </w:rPr>
              <w:t>挖土方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等线"/>
                <w:kern w:val="0"/>
                <w:szCs w:val="21"/>
              </w:rPr>
            </w:pPr>
            <w:r>
              <w:rPr>
                <w:rFonts w:eastAsia="等线"/>
                <w:szCs w:val="21"/>
              </w:rPr>
              <w:t>m</w:t>
            </w:r>
            <w:r>
              <w:rPr>
                <w:rFonts w:eastAsia="等线"/>
                <w:szCs w:val="21"/>
                <w:vertAlign w:val="superscript"/>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r>
              <w:rPr>
                <w:sz w:val="22"/>
                <w:szCs w:val="22"/>
              </w:rPr>
              <w:t>51.57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 w:val="22"/>
                <w:szCs w:val="22"/>
              </w:rPr>
            </w:pPr>
            <w:r>
              <w:rPr>
                <w:rFonts w:hint="eastAsia"/>
                <w:sz w:val="22"/>
                <w:szCs w:val="22"/>
              </w:rPr>
              <w:t>225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kern w:val="0"/>
                <w:sz w:val="22"/>
                <w:szCs w:val="22"/>
              </w:rPr>
            </w:pPr>
            <w:r>
              <w:rPr>
                <w:rFonts w:hint="eastAsia"/>
                <w:sz w:val="22"/>
                <w:szCs w:val="22"/>
              </w:rPr>
              <w:t>11603.25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kern w:val="0"/>
                <w:sz w:val="22"/>
                <w:szCs w:val="22"/>
              </w:rPr>
            </w:pPr>
            <w:r>
              <w:rPr>
                <w:rFonts w:hint="eastAsia"/>
                <w:sz w:val="22"/>
                <w:szCs w:val="22"/>
              </w:rPr>
              <w:t>225</w:t>
            </w:r>
          </w:p>
        </w:tc>
        <w:tc>
          <w:tcPr>
            <w:tcW w:w="1192" w:type="dxa"/>
            <w:tcBorders>
              <w:top w:val="single" w:color="000000" w:sz="4" w:space="0"/>
              <w:left w:val="single" w:color="000000" w:sz="4" w:space="0"/>
              <w:bottom w:val="single" w:color="000000" w:sz="4" w:space="0"/>
            </w:tcBorders>
            <w:shd w:val="clear" w:color="auto" w:fill="auto"/>
            <w:noWrap/>
            <w:vAlign w:val="center"/>
          </w:tcPr>
          <w:p>
            <w:pPr>
              <w:widowControl/>
              <w:jc w:val="center"/>
              <w:rPr>
                <w:kern w:val="0"/>
                <w:sz w:val="22"/>
                <w:szCs w:val="22"/>
              </w:rPr>
            </w:pPr>
            <w:r>
              <w:rPr>
                <w:rFonts w:hint="eastAsia"/>
                <w:sz w:val="22"/>
                <w:szCs w:val="22"/>
              </w:rPr>
              <w:t>11603.25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left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jc w:val="center"/>
              <w:rPr>
                <w:rFonts w:eastAsia="等线"/>
                <w:sz w:val="18"/>
                <w:szCs w:val="18"/>
              </w:rPr>
            </w:pPr>
            <w:r>
              <w:rPr>
                <w:sz w:val="18"/>
                <w:szCs w:val="18"/>
              </w:rPr>
              <w:t>浆砌块石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r>
              <w:rPr>
                <w:rFonts w:eastAsia="等线"/>
                <w:szCs w:val="21"/>
                <w:vertAlign w:val="superscript"/>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352.48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432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152271.36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432</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rFonts w:hint="eastAsia"/>
                <w:sz w:val="22"/>
                <w:szCs w:val="22"/>
              </w:rPr>
              <w:t>152271.36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left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jc w:val="center"/>
              <w:rPr>
                <w:sz w:val="18"/>
                <w:szCs w:val="18"/>
              </w:rPr>
            </w:pPr>
            <w:r>
              <w:rPr>
                <w:sz w:val="18"/>
                <w:szCs w:val="18"/>
              </w:rPr>
              <w:t>砂浆抹面2cm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r>
              <w:rPr>
                <w:rFonts w:eastAsia="等线"/>
                <w:szCs w:val="21"/>
                <w:vertAlign w:val="superscript"/>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47.53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2160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rFonts w:hint="eastAsia"/>
                <w:sz w:val="22"/>
                <w:szCs w:val="22"/>
              </w:rPr>
              <w:t>102664.80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2160</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rFonts w:hint="eastAsia"/>
                <w:sz w:val="22"/>
                <w:szCs w:val="22"/>
              </w:rPr>
              <w:t>102664.8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left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jc w:val="center"/>
              <w:rPr>
                <w:rFonts w:eastAsia="等线"/>
                <w:sz w:val="18"/>
                <w:szCs w:val="18"/>
              </w:rPr>
            </w:pPr>
            <w:r>
              <w:rPr>
                <w:rFonts w:eastAsia="等线"/>
                <w:sz w:val="18"/>
                <w:szCs w:val="18"/>
              </w:rPr>
              <w:t>PVC</w:t>
            </w:r>
            <w:r>
              <w:rPr>
                <w:sz w:val="18"/>
                <w:szCs w:val="18"/>
              </w:rPr>
              <w:t>泄水管</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等线"/>
                <w:szCs w:val="21"/>
              </w:rPr>
            </w:pPr>
            <w:r>
              <w:rPr>
                <w:rFonts w:eastAsia="等线"/>
                <w:szCs w:val="21"/>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r>
              <w:rPr>
                <w:sz w:val="22"/>
                <w:szCs w:val="22"/>
              </w:rPr>
              <w:t>8.8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13.2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kern w:val="0"/>
                <w:sz w:val="22"/>
                <w:szCs w:val="22"/>
              </w:rPr>
            </w:pPr>
            <w:r>
              <w:rPr>
                <w:rFonts w:hint="eastAsia"/>
                <w:sz w:val="22"/>
                <w:szCs w:val="22"/>
              </w:rPr>
              <w:t>116.16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rFonts w:hint="eastAsia"/>
                <w:sz w:val="22"/>
                <w:szCs w:val="22"/>
              </w:rPr>
              <w:t>13.2</w:t>
            </w:r>
          </w:p>
        </w:tc>
        <w:tc>
          <w:tcPr>
            <w:tcW w:w="1192" w:type="dxa"/>
            <w:tcBorders>
              <w:top w:val="single" w:color="000000" w:sz="4" w:space="0"/>
              <w:left w:val="single" w:color="000000" w:sz="4" w:space="0"/>
              <w:bottom w:val="single" w:color="000000" w:sz="4" w:space="0"/>
            </w:tcBorders>
            <w:shd w:val="clear" w:color="auto" w:fill="auto"/>
            <w:noWrap/>
            <w:vAlign w:val="center"/>
          </w:tcPr>
          <w:p>
            <w:pPr>
              <w:widowControl/>
              <w:jc w:val="center"/>
              <w:rPr>
                <w:sz w:val="22"/>
                <w:szCs w:val="22"/>
              </w:rPr>
            </w:pPr>
            <w:r>
              <w:rPr>
                <w:rFonts w:hint="eastAsia"/>
                <w:sz w:val="22"/>
                <w:szCs w:val="22"/>
              </w:rPr>
              <w:t>116.16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境外截水沟</w:t>
            </w: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挖土方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51.57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850.42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43856.16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kern w:val="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850.42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43856.16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弃方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13.33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732.54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9764.76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732.54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9764.76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浆砌块石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352.48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313.22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110403.79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313.22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110403.79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砼垫层(厚0.1m)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461.09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104.41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48142.41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104.41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48142.41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砂浆抹面(厚0.02m)</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47.53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2037.64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96849.03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2037.64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96849.03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szCs w:val="21"/>
              </w:rPr>
            </w:pPr>
            <w:r>
              <w:rPr>
                <w:kern w:val="0"/>
                <w:szCs w:val="21"/>
              </w:rPr>
              <w:t>伸缩缝（m</w:t>
            </w:r>
            <w:r>
              <w:rPr>
                <w:kern w:val="0"/>
                <w:szCs w:val="21"/>
                <w:vertAlign w:val="superscript"/>
              </w:rPr>
              <w:t>2</w:t>
            </w:r>
            <w:r>
              <w:rPr>
                <w:kern w:val="0"/>
                <w:szCs w:val="21"/>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327.41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8.89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rPr>
              <w:t xml:space="preserve">2910.67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8.89 </w:t>
            </w:r>
          </w:p>
        </w:tc>
        <w:tc>
          <w:tcPr>
            <w:tcW w:w="1192" w:type="dxa"/>
            <w:tcBorders>
              <w:top w:val="single" w:color="000000" w:sz="4" w:space="0"/>
              <w:left w:val="single" w:color="000000" w:sz="4" w:space="0"/>
              <w:bottom w:val="single" w:color="000000" w:sz="4" w:space="0"/>
            </w:tcBorders>
            <w:shd w:val="clear" w:color="auto" w:fill="auto"/>
            <w:noWrap/>
            <w:vAlign w:val="center"/>
          </w:tcPr>
          <w:p>
            <w:pPr>
              <w:jc w:val="center"/>
              <w:rPr>
                <w:sz w:val="22"/>
                <w:szCs w:val="22"/>
              </w:rPr>
            </w:pPr>
            <w:r>
              <w:rPr>
                <w:sz w:val="22"/>
                <w:szCs w:val="22"/>
              </w:rPr>
              <w:t xml:space="preserve">2910.67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泄洪道</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挖</w:t>
            </w:r>
            <w:r>
              <w:rPr>
                <w:kern w:val="0"/>
                <w:sz w:val="18"/>
                <w:szCs w:val="18"/>
              </w:rPr>
              <w:t>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51.57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219.00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11293.83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219.00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11293.83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盖板（混凝土）</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43.80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17914.20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43.80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17914.20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浆砌块石</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454.25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70.08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31833.84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70.08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31833.84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现浇底板</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437.29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43.80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19153.30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43.80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19153.30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砂浆抹面</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47.53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233.60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11103.01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233.60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11103.01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伸缩缝</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m</w:t>
            </w:r>
            <w:r>
              <w:rPr>
                <w:kern w:val="0"/>
                <w:szCs w:val="21"/>
                <w:vertAlign w:val="superscript"/>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327.41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1.54 </w:t>
            </w:r>
          </w:p>
        </w:tc>
        <w:tc>
          <w:tcPr>
            <w:tcW w:w="1082" w:type="dxa"/>
            <w:tcBorders>
              <w:top w:val="single" w:color="000000" w:sz="4" w:space="0"/>
              <w:left w:val="single" w:color="000000" w:sz="4" w:space="0"/>
              <w:bottom w:val="nil"/>
              <w:right w:val="single" w:color="000000" w:sz="4" w:space="0"/>
            </w:tcBorders>
            <w:shd w:val="clear" w:color="auto" w:fill="auto"/>
            <w:noWrap/>
            <w:vAlign w:val="center"/>
          </w:tcPr>
          <w:p>
            <w:pPr>
              <w:jc w:val="center"/>
              <w:rPr>
                <w:sz w:val="22"/>
                <w:szCs w:val="22"/>
              </w:rPr>
            </w:pPr>
            <w:r>
              <w:rPr>
                <w:sz w:val="22"/>
                <w:szCs w:val="22"/>
              </w:rPr>
              <w:t xml:space="preserve">504.21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1.54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504.21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sz w:val="22"/>
                <w:szCs w:val="22"/>
              </w:rPr>
            </w:pPr>
            <w:r>
              <w:rPr>
                <w:kern w:val="0"/>
                <w:sz w:val="22"/>
                <w:szCs w:val="22"/>
              </w:rPr>
              <w:t>铁丝网围栏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174.11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702.00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122225.22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619.00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107774.09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1321.00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229999.31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1096" w:type="dxa"/>
            <w:vMerge w:val="continue"/>
            <w:tcBorders>
              <w:top w:val="nil"/>
              <w:bottom w:val="nil"/>
              <w:right w:val="nil"/>
            </w:tcBorders>
            <w:shd w:val="clear" w:color="auto" w:fill="auto"/>
            <w:vAlign w:val="center"/>
          </w:tcPr>
          <w:p>
            <w:pPr>
              <w:jc w:val="center"/>
              <w:rPr>
                <w:sz w:val="22"/>
                <w:szCs w:val="22"/>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p>
        </w:tc>
        <w:tc>
          <w:tcPr>
            <w:tcW w:w="0" w:type="auto"/>
            <w:tcBorders>
              <w:top w:val="single" w:color="000000" w:sz="4" w:space="0"/>
              <w:left w:val="single" w:color="000000" w:sz="4" w:space="0"/>
              <w:bottom w:val="nil"/>
              <w:right w:val="nil"/>
            </w:tcBorders>
            <w:shd w:val="clear" w:color="auto" w:fill="auto"/>
            <w:noWrap/>
            <w:vAlign w:val="center"/>
          </w:tcPr>
          <w:p>
            <w:pPr>
              <w:widowControl/>
              <w:jc w:val="center"/>
              <w:textAlignment w:val="center"/>
              <w:rPr>
                <w:sz w:val="22"/>
                <w:szCs w:val="22"/>
              </w:rPr>
            </w:pPr>
            <w:r>
              <w:rPr>
                <w:kern w:val="0"/>
                <w:sz w:val="22"/>
                <w:szCs w:val="22"/>
              </w:rPr>
              <w:t>警示牌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块</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250.00 </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3750.00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15.00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3750.00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监测工程</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地质灾害监测</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工班</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88.28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1324.20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kern w:val="0"/>
                <w:szCs w:val="21"/>
              </w:rPr>
              <w:t xml:space="preserve">180.00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15890.40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水质监测</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组</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1200.00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33600.00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0.00 </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336.00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403200.00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pPr>
              <w:jc w:val="center"/>
              <w:rPr>
                <w:sz w:val="22"/>
                <w:szCs w:val="22"/>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2"/>
                <w:szCs w:val="22"/>
              </w:rPr>
            </w:pPr>
            <w:r>
              <w:rPr>
                <w:kern w:val="0"/>
                <w:sz w:val="22"/>
                <w:szCs w:val="22"/>
              </w:rPr>
              <w:t>植被监测</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次</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88.28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96.00 </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kern w:val="0"/>
                <w:sz w:val="22"/>
                <w:szCs w:val="22"/>
              </w:rPr>
              <w:t xml:space="preserve">8474.88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0" w:type="auto"/>
            <w:vMerge w:val="restart"/>
            <w:tcBorders>
              <w:top w:val="nil"/>
              <w:bottom w:val="nil"/>
              <w:right w:val="nil"/>
            </w:tcBorders>
            <w:shd w:val="clear" w:color="auto" w:fill="auto"/>
            <w:noWrap/>
            <w:vAlign w:val="center"/>
          </w:tcPr>
          <w:p>
            <w:pPr>
              <w:widowControl/>
              <w:jc w:val="center"/>
              <w:textAlignment w:val="center"/>
              <w:rPr>
                <w:sz w:val="22"/>
                <w:szCs w:val="22"/>
              </w:rPr>
            </w:pPr>
            <w:r>
              <w:rPr>
                <w:kern w:val="0"/>
                <w:sz w:val="22"/>
                <w:szCs w:val="22"/>
              </w:rPr>
              <w:t>管护工程</w:t>
            </w:r>
          </w:p>
        </w:tc>
        <w:tc>
          <w:tcPr>
            <w:tcW w:w="3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管护年限</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年</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0" w:type="auto"/>
            <w:vMerge w:val="continue"/>
            <w:tcBorders>
              <w:top w:val="nil"/>
              <w:bottom w:val="single" w:color="auto" w:sz="4" w:space="0"/>
              <w:right w:val="nil"/>
            </w:tcBorders>
            <w:shd w:val="clear" w:color="auto" w:fill="auto"/>
            <w:noWrap/>
            <w:vAlign w:val="center"/>
          </w:tcPr>
          <w:p>
            <w:pPr>
              <w:jc w:val="center"/>
              <w:rPr>
                <w:sz w:val="22"/>
                <w:szCs w:val="22"/>
              </w:rPr>
            </w:pPr>
          </w:p>
        </w:tc>
        <w:tc>
          <w:tcPr>
            <w:tcW w:w="3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管护工程量</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元/hm</w:t>
            </w:r>
            <w:r>
              <w:rPr>
                <w:kern w:val="0"/>
                <w:szCs w:val="21"/>
                <w:vertAlign w:val="superscript"/>
              </w:rPr>
              <w:t>2</w:t>
            </w:r>
            <w:r>
              <w:rPr>
                <w:kern w:val="0"/>
                <w:szCs w:val="21"/>
              </w:rPr>
              <w:t>.a</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rPr>
              <w:t xml:space="preserve">2.5633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Cs w:val="21"/>
              </w:rPr>
            </w:pPr>
            <w:r>
              <w:rPr>
                <w:rFonts w:hint="eastAsia"/>
                <w:szCs w:val="21"/>
              </w:rPr>
              <w:t>12000.00</w:t>
            </w:r>
          </w:p>
        </w:tc>
        <w:tc>
          <w:tcPr>
            <w:tcW w:w="0" w:type="auto"/>
            <w:tcBorders>
              <w:top w:val="single" w:color="000000" w:sz="4" w:space="0"/>
              <w:left w:val="single" w:color="000000" w:sz="4" w:space="0"/>
              <w:bottom w:val="single" w:color="000000" w:sz="4" w:space="0"/>
            </w:tcBorders>
            <w:shd w:val="clear" w:color="auto" w:fill="auto"/>
            <w:noWrap/>
            <w:vAlign w:val="center"/>
          </w:tcPr>
          <w:p>
            <w:pPr>
              <w:widowControl/>
              <w:jc w:val="right"/>
              <w:textAlignment w:val="center"/>
              <w:rPr>
                <w:sz w:val="22"/>
                <w:szCs w:val="22"/>
              </w:rPr>
            </w:pPr>
            <w:r>
              <w:rPr>
                <w:sz w:val="22"/>
                <w:szCs w:val="22"/>
              </w:rPr>
              <w:t xml:space="preserve">92278.80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4608" w:type="dxa"/>
            <w:gridSpan w:val="3"/>
            <w:tcBorders>
              <w:top w:val="single" w:color="auto" w:sz="4" w:space="0"/>
              <w:right w:val="single" w:color="000000" w:sz="4" w:space="0"/>
            </w:tcBorders>
            <w:shd w:val="clear" w:color="auto" w:fill="auto"/>
            <w:noWrap/>
            <w:vAlign w:val="center"/>
          </w:tcPr>
          <w:p>
            <w:pPr>
              <w:widowControl/>
              <w:jc w:val="center"/>
              <w:textAlignment w:val="center"/>
              <w:rPr>
                <w:kern w:val="0"/>
                <w:szCs w:val="21"/>
              </w:rPr>
            </w:pPr>
            <w:r>
              <w:rPr>
                <w:rFonts w:hint="eastAsia"/>
                <w:kern w:val="0"/>
                <w:szCs w:val="21"/>
              </w:rPr>
              <w:t>合计</w:t>
            </w:r>
          </w:p>
        </w:tc>
        <w:tc>
          <w:tcPr>
            <w:tcW w:w="78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1043"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kern w:val="0"/>
                <w:szCs w:val="21"/>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szCs w:val="21"/>
              </w:rPr>
            </w:pPr>
          </w:p>
        </w:tc>
        <w:tc>
          <w:tcPr>
            <w:tcW w:w="0" w:type="auto"/>
            <w:tcBorders>
              <w:top w:val="single" w:color="000000" w:sz="4" w:space="0"/>
              <w:left w:val="single" w:color="000000" w:sz="4" w:space="0"/>
              <w:right w:val="single" w:color="000000" w:sz="4" w:space="0"/>
            </w:tcBorders>
            <w:shd w:val="clear" w:color="auto" w:fill="auto"/>
            <w:noWrap/>
            <w:vAlign w:val="center"/>
          </w:tcPr>
          <w:p>
            <w:pPr>
              <w:widowControl/>
              <w:jc w:val="right"/>
              <w:textAlignment w:val="center"/>
              <w:rPr>
                <w:sz w:val="22"/>
                <w:szCs w:val="22"/>
              </w:rPr>
            </w:pPr>
          </w:p>
        </w:tc>
        <w:tc>
          <w:tcPr>
            <w:tcW w:w="0" w:type="auto"/>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szCs w:val="21"/>
              </w:rPr>
            </w:pPr>
          </w:p>
        </w:tc>
        <w:tc>
          <w:tcPr>
            <w:tcW w:w="0" w:type="auto"/>
            <w:tcBorders>
              <w:top w:val="single" w:color="000000" w:sz="4" w:space="0"/>
              <w:left w:val="single" w:color="000000" w:sz="4" w:space="0"/>
            </w:tcBorders>
            <w:shd w:val="clear" w:color="auto" w:fill="auto"/>
            <w:noWrap/>
            <w:vAlign w:val="center"/>
          </w:tcPr>
          <w:p>
            <w:pPr>
              <w:widowControl/>
              <w:jc w:val="right"/>
              <w:textAlignment w:val="center"/>
              <w:rPr>
                <w:sz w:val="22"/>
                <w:szCs w:val="22"/>
              </w:rPr>
            </w:pPr>
            <w:r>
              <w:rPr>
                <w:rFonts w:hint="eastAsia"/>
                <w:sz w:val="22"/>
                <w:szCs w:val="22"/>
              </w:rPr>
              <w:t>3042295.73</w:t>
            </w:r>
          </w:p>
        </w:tc>
      </w:tr>
    </w:tbl>
    <w:p>
      <w:pPr>
        <w:pStyle w:val="2"/>
        <w:sectPr>
          <w:pgSz w:w="33675" w:h="23811" w:orient="landscape"/>
          <w:pgMar w:top="851" w:right="720" w:bottom="851" w:left="720" w:header="720" w:footer="720" w:gutter="0"/>
          <w:cols w:space="720" w:num="1"/>
          <w:docGrid w:linePitch="286" w:charSpace="0"/>
        </w:sectPr>
      </w:pPr>
    </w:p>
    <w:p>
      <w:pPr>
        <w:pStyle w:val="4"/>
        <w:spacing w:before="120" w:after="120" w:line="400" w:lineRule="exact"/>
        <w:jc w:val="left"/>
        <w:rPr>
          <w:rFonts w:ascii="Times New Roman" w:hAnsi="Times New Roman" w:eastAsia="宋体"/>
          <w:b w:val="0"/>
          <w:bCs w:val="0"/>
          <w:sz w:val="28"/>
        </w:rPr>
      </w:pPr>
      <w:bookmarkStart w:id="87" w:name="_Toc130937643"/>
      <w:bookmarkStart w:id="88" w:name="_Toc518918344"/>
      <w:r>
        <w:rPr>
          <w:rFonts w:ascii="Times New Roman" w:hAnsi="Times New Roman" w:eastAsia="宋体"/>
          <w:b w:val="0"/>
          <w:bCs w:val="0"/>
          <w:sz w:val="28"/>
        </w:rPr>
        <w:t>二、基金管理</w:t>
      </w:r>
      <w:bookmarkEnd w:id="87"/>
    </w:p>
    <w:p>
      <w:pPr>
        <w:pStyle w:val="5"/>
        <w:spacing w:before="0" w:after="0" w:line="360" w:lineRule="auto"/>
        <w:jc w:val="left"/>
        <w:rPr>
          <w:b w:val="0"/>
          <w:bCs w:val="0"/>
          <w:sz w:val="24"/>
          <w:szCs w:val="24"/>
        </w:rPr>
      </w:pPr>
      <w:r>
        <w:rPr>
          <w:b w:val="0"/>
          <w:bCs w:val="0"/>
          <w:sz w:val="24"/>
          <w:szCs w:val="24"/>
        </w:rPr>
        <w:t>（一）资金来源与管理</w:t>
      </w:r>
    </w:p>
    <w:p>
      <w:pPr>
        <w:pStyle w:val="29"/>
        <w:spacing w:before="0" w:beforeAutospacing="0" w:after="0" w:afterAutospacing="0"/>
        <w:ind w:firstLine="480"/>
      </w:pPr>
      <w:r>
        <w:t>根据湖南省自然资源厅湖南省生态环境厅关于印发《湖南省矿山生态修复基金管理办法》【湘自资规〔2022〕3号】的通知，采矿权人应当在银行设立基金专户，足额存入基金，并实行专账核算。</w:t>
      </w:r>
      <w:r>
        <w:rPr>
          <w:kern w:val="2"/>
        </w:rPr>
        <w:t>单独、据实反映基金的计提和使用情况，按照“企业所有、确保需求、规范计提、依规使用、三方监管”的原则进行管理。</w:t>
      </w:r>
    </w:p>
    <w:p>
      <w:pPr>
        <w:pStyle w:val="5"/>
        <w:spacing w:before="0" w:after="0" w:line="360" w:lineRule="auto"/>
        <w:jc w:val="left"/>
        <w:rPr>
          <w:b w:val="0"/>
          <w:bCs w:val="0"/>
          <w:sz w:val="24"/>
          <w:szCs w:val="24"/>
        </w:rPr>
      </w:pPr>
      <w:r>
        <w:rPr>
          <w:b w:val="0"/>
          <w:bCs w:val="0"/>
          <w:sz w:val="24"/>
          <w:szCs w:val="24"/>
        </w:rPr>
        <w:t>（二）资金使用</w:t>
      </w:r>
    </w:p>
    <w:p>
      <w:pPr>
        <w:spacing w:line="360" w:lineRule="auto"/>
        <w:ind w:firstLine="482"/>
        <w:jc w:val="left"/>
        <w:rPr>
          <w:sz w:val="24"/>
        </w:rPr>
      </w:pPr>
      <w:r>
        <w:rPr>
          <w:sz w:val="24"/>
        </w:rPr>
        <w:t>（1）基金由采矿权人专项用于矿业活动产生的地形地貌景观破坏、土地资源占损、水资源水生态破坏、矿山地质灾害、生物多样性破坏等生态问题的修复治理，以及矿山生态保护保育、监测与后期管护等。</w:t>
      </w:r>
    </w:p>
    <w:p>
      <w:pPr>
        <w:spacing w:line="360" w:lineRule="auto"/>
        <w:ind w:firstLine="482"/>
        <w:jc w:val="left"/>
        <w:rPr>
          <w:sz w:val="24"/>
        </w:rPr>
      </w:pPr>
      <w:r>
        <w:rPr>
          <w:sz w:val="24"/>
        </w:rPr>
        <w:t>（2）采矿权人应当按照《方案》落实矿山生态保护修复任务，按有关规定适时向自然资源主管部门申请矿山生态保护修复验收。验收合格的，采矿权人向所在地县级自然资源主管部门提出资金划转申请。县级自然资源主管部门出具基金划转通知书，并明确可划转基金额。专户银行凭基金划转通知书划转基金。</w:t>
      </w:r>
    </w:p>
    <w:p>
      <w:pPr>
        <w:spacing w:line="360" w:lineRule="auto"/>
        <w:ind w:firstLine="482"/>
        <w:jc w:val="left"/>
      </w:pPr>
      <w:r>
        <w:rPr>
          <w:sz w:val="24"/>
        </w:rPr>
        <w:t>（3）验收合格的，县级自然资源主管部门在确定划转基金额时，应按照《方案》留足基金余额，以满足矿山关闭后仍可能产生的生态问题修复与后期管护。</w:t>
      </w:r>
    </w:p>
    <w:p>
      <w:pPr>
        <w:spacing w:line="360" w:lineRule="auto"/>
        <w:ind w:firstLine="482"/>
        <w:jc w:val="left"/>
        <w:rPr>
          <w:sz w:val="24"/>
        </w:rPr>
      </w:pPr>
      <w:r>
        <w:rPr>
          <w:sz w:val="24"/>
        </w:rPr>
        <w:t>（4）当基金不足时，采矿权人应当及时补足；</w:t>
      </w:r>
    </w:p>
    <w:p>
      <w:pPr>
        <w:pStyle w:val="5"/>
        <w:spacing w:before="0" w:after="0" w:line="360" w:lineRule="auto"/>
        <w:jc w:val="left"/>
        <w:rPr>
          <w:b w:val="0"/>
          <w:bCs w:val="0"/>
          <w:sz w:val="24"/>
          <w:szCs w:val="24"/>
        </w:rPr>
      </w:pPr>
      <w:r>
        <w:rPr>
          <w:b w:val="0"/>
          <w:bCs w:val="0"/>
          <w:sz w:val="24"/>
          <w:szCs w:val="24"/>
        </w:rPr>
        <w:t>（三）基金计提</w:t>
      </w:r>
    </w:p>
    <w:p>
      <w:pPr>
        <w:spacing w:line="360" w:lineRule="auto"/>
        <w:ind w:firstLine="482"/>
        <w:jc w:val="left"/>
        <w:rPr>
          <w:sz w:val="24"/>
        </w:rPr>
      </w:pPr>
      <w:r>
        <w:rPr>
          <w:sz w:val="24"/>
        </w:rPr>
        <w:t>将《方案》适用年限内矿山生态保护保育、生态修复、监测与后期管护等费用足额列入经费估算，以此核定需计提基金总额，确保满足矿山生态保护修复需求。</w:t>
      </w:r>
    </w:p>
    <w:p>
      <w:pPr>
        <w:spacing w:line="360" w:lineRule="auto"/>
        <w:ind w:firstLine="482"/>
        <w:jc w:val="left"/>
        <w:rPr>
          <w:sz w:val="24"/>
        </w:rPr>
      </w:pPr>
      <w:r>
        <w:rPr>
          <w:sz w:val="24"/>
        </w:rPr>
        <w:t>（1）计提方式</w:t>
      </w:r>
    </w:p>
    <w:p>
      <w:pPr>
        <w:spacing w:line="360" w:lineRule="auto"/>
        <w:ind w:firstLine="482"/>
        <w:jc w:val="left"/>
      </w:pPr>
      <w:r>
        <w:rPr>
          <w:sz w:val="24"/>
        </w:rPr>
        <w:t>基金计提实行一次性计提和分年计提两种方式。矿山剩余服务年限不足3年（含3年）的，应当一次性完成基金总额计提。大于3年的，分年完成。</w:t>
      </w:r>
    </w:p>
    <w:p>
      <w:pPr>
        <w:spacing w:line="360" w:lineRule="auto"/>
        <w:ind w:firstLine="482"/>
        <w:jc w:val="left"/>
        <w:rPr>
          <w:sz w:val="24"/>
        </w:rPr>
      </w:pPr>
      <w:r>
        <w:rPr>
          <w:sz w:val="24"/>
        </w:rPr>
        <w:t>本矿山的服务年限大于3年，按照分年计提的方式完成；采矿权人将采矿许可证有效期限起始日至次年当日作为一个周期，自发证之日起一个月内按照《方案》，根据实际情况，制定矿山生态保护修复年度计划，按照分年计提的方式，按照确保可满足当年矿山生态保护修复年度任务的原则，明确基金年度拟计提额，报矿山所在地县级自然资源主管部门审核通过后，一个月内完成当年度基金计提，以后每年依此类推。</w:t>
      </w:r>
    </w:p>
    <w:p>
      <w:pPr>
        <w:spacing w:line="360" w:lineRule="auto"/>
        <w:ind w:firstLine="482"/>
        <w:jc w:val="left"/>
        <w:rPr>
          <w:sz w:val="24"/>
        </w:rPr>
      </w:pPr>
      <w:r>
        <w:rPr>
          <w:sz w:val="24"/>
        </w:rPr>
        <w:t>本矿山生态修复工程费用估算为</w:t>
      </w:r>
      <w:r>
        <w:rPr>
          <w:rFonts w:hint="eastAsia"/>
          <w:sz w:val="24"/>
        </w:rPr>
        <w:t>371.16</w:t>
      </w:r>
      <w:r>
        <w:rPr>
          <w:sz w:val="24"/>
        </w:rPr>
        <w:t>万元。矿山开采年限为7.7年，前五年按照年度计提，第六年的时候，剩余服务年限少于3年，一次提取完毕。详见表5-11（矿山生态保护修复逐年基金提取表）。</w:t>
      </w:r>
    </w:p>
    <w:p>
      <w:pPr>
        <w:jc w:val="center"/>
        <w:rPr>
          <w:szCs w:val="21"/>
        </w:rPr>
      </w:pPr>
      <w:r>
        <w:rPr>
          <w:szCs w:val="21"/>
        </w:rPr>
        <w:t>表5-12    矿山生态保护修复逐年基金提取表</w:t>
      </w:r>
    </w:p>
    <w:tbl>
      <w:tblPr>
        <w:tblStyle w:val="34"/>
        <w:tblpPr w:leftFromText="180" w:rightFromText="180" w:vertAnchor="text" w:horzAnchor="page" w:tblpXSpec="center" w:tblpY="1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91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基金提取年度</w:t>
            </w:r>
          </w:p>
        </w:tc>
        <w:tc>
          <w:tcPr>
            <w:tcW w:w="1912" w:type="dxa"/>
            <w:shd w:val="clear" w:color="auto" w:fill="auto"/>
            <w:vAlign w:val="center"/>
          </w:tcPr>
          <w:p>
            <w:pPr>
              <w:widowControl/>
              <w:jc w:val="center"/>
              <w:textAlignment w:val="center"/>
              <w:rPr>
                <w:sz w:val="20"/>
                <w:szCs w:val="20"/>
              </w:rPr>
            </w:pPr>
            <w:r>
              <w:rPr>
                <w:kern w:val="0"/>
                <w:sz w:val="20"/>
                <w:szCs w:val="20"/>
              </w:rPr>
              <w:t>基金提取金额（万元）</w:t>
            </w:r>
          </w:p>
        </w:tc>
        <w:tc>
          <w:tcPr>
            <w:tcW w:w="4087" w:type="dxa"/>
            <w:shd w:val="clear" w:color="auto" w:fill="auto"/>
            <w:vAlign w:val="center"/>
          </w:tcPr>
          <w:p>
            <w:pPr>
              <w:widowControl/>
              <w:jc w:val="center"/>
              <w:textAlignment w:val="center"/>
              <w:rPr>
                <w:sz w:val="20"/>
                <w:szCs w:val="20"/>
              </w:rPr>
            </w:pPr>
            <w:r>
              <w:rPr>
                <w:kern w:val="0"/>
                <w:sz w:val="20"/>
                <w:szCs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2023.03-2024.03</w:t>
            </w:r>
          </w:p>
        </w:tc>
        <w:tc>
          <w:tcPr>
            <w:tcW w:w="1912" w:type="dxa"/>
            <w:shd w:val="clear" w:color="auto" w:fill="auto"/>
            <w:vAlign w:val="center"/>
          </w:tcPr>
          <w:p>
            <w:pPr>
              <w:widowControl/>
              <w:jc w:val="center"/>
              <w:textAlignment w:val="center"/>
              <w:rPr>
                <w:sz w:val="20"/>
                <w:szCs w:val="20"/>
              </w:rPr>
            </w:pPr>
            <w:r>
              <w:rPr>
                <w:rFonts w:hint="eastAsia"/>
                <w:kern w:val="0"/>
                <w:sz w:val="20"/>
                <w:szCs w:val="20"/>
              </w:rPr>
              <w:t>****</w:t>
            </w:r>
          </w:p>
        </w:tc>
        <w:tc>
          <w:tcPr>
            <w:tcW w:w="4087" w:type="dxa"/>
            <w:shd w:val="clear" w:color="auto" w:fill="auto"/>
            <w:vAlign w:val="center"/>
          </w:tcPr>
          <w:p>
            <w:pPr>
              <w:widowControl/>
              <w:jc w:val="center"/>
              <w:textAlignment w:val="center"/>
              <w:rPr>
                <w:sz w:val="20"/>
                <w:szCs w:val="20"/>
              </w:rPr>
            </w:pPr>
            <w:r>
              <w:rPr>
                <w:kern w:val="0"/>
                <w:sz w:val="20"/>
                <w:szCs w:val="20"/>
              </w:rPr>
              <w:t>开采首年计提数不低于总投资额的20%，且大于第1年度总投资额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2024.03-2025.03</w:t>
            </w:r>
          </w:p>
        </w:tc>
        <w:tc>
          <w:tcPr>
            <w:tcW w:w="1912" w:type="dxa"/>
            <w:shd w:val="clear" w:color="auto" w:fill="auto"/>
            <w:vAlign w:val="center"/>
          </w:tcPr>
          <w:p>
            <w:pPr>
              <w:widowControl/>
              <w:jc w:val="center"/>
              <w:textAlignment w:val="center"/>
              <w:rPr>
                <w:sz w:val="20"/>
                <w:szCs w:val="20"/>
              </w:rPr>
            </w:pPr>
            <w:r>
              <w:rPr>
                <w:rFonts w:hint="eastAsia"/>
                <w:kern w:val="0"/>
                <w:sz w:val="20"/>
                <w:szCs w:val="20"/>
              </w:rPr>
              <w:t>****</w:t>
            </w:r>
          </w:p>
        </w:tc>
        <w:tc>
          <w:tcPr>
            <w:tcW w:w="4087" w:type="dxa"/>
            <w:shd w:val="clear" w:color="auto" w:fill="auto"/>
            <w:vAlign w:val="center"/>
          </w:tcPr>
          <w:p>
            <w:pPr>
              <w:widowControl/>
              <w:jc w:val="center"/>
              <w:textAlignment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2025.03-2026.03</w:t>
            </w:r>
          </w:p>
        </w:tc>
        <w:tc>
          <w:tcPr>
            <w:tcW w:w="1912" w:type="dxa"/>
            <w:shd w:val="clear" w:color="auto" w:fill="auto"/>
            <w:vAlign w:val="center"/>
          </w:tcPr>
          <w:p>
            <w:pPr>
              <w:widowControl/>
              <w:jc w:val="center"/>
              <w:textAlignment w:val="center"/>
              <w:rPr>
                <w:sz w:val="20"/>
                <w:szCs w:val="20"/>
              </w:rPr>
            </w:pPr>
            <w:r>
              <w:rPr>
                <w:rFonts w:hint="eastAsia"/>
                <w:kern w:val="0"/>
                <w:sz w:val="20"/>
                <w:szCs w:val="20"/>
              </w:rPr>
              <w:t>****</w:t>
            </w:r>
          </w:p>
        </w:tc>
        <w:tc>
          <w:tcPr>
            <w:tcW w:w="4087" w:type="dxa"/>
            <w:shd w:val="clear" w:color="auto" w:fill="auto"/>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2026.03-2027.07</w:t>
            </w:r>
          </w:p>
        </w:tc>
        <w:tc>
          <w:tcPr>
            <w:tcW w:w="1912" w:type="dxa"/>
            <w:shd w:val="clear" w:color="auto" w:fill="auto"/>
            <w:vAlign w:val="center"/>
          </w:tcPr>
          <w:p>
            <w:pPr>
              <w:widowControl/>
              <w:jc w:val="center"/>
              <w:textAlignment w:val="center"/>
              <w:rPr>
                <w:sz w:val="20"/>
                <w:szCs w:val="20"/>
              </w:rPr>
            </w:pPr>
            <w:r>
              <w:rPr>
                <w:rFonts w:hint="eastAsia"/>
                <w:kern w:val="0"/>
                <w:sz w:val="20"/>
                <w:szCs w:val="20"/>
              </w:rPr>
              <w:t>****</w:t>
            </w:r>
          </w:p>
        </w:tc>
        <w:tc>
          <w:tcPr>
            <w:tcW w:w="4087" w:type="dxa"/>
            <w:shd w:val="clear" w:color="auto" w:fill="auto"/>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2027.03-2028.03</w:t>
            </w:r>
          </w:p>
        </w:tc>
        <w:tc>
          <w:tcPr>
            <w:tcW w:w="1912" w:type="dxa"/>
            <w:shd w:val="clear" w:color="auto" w:fill="auto"/>
            <w:vAlign w:val="center"/>
          </w:tcPr>
          <w:p>
            <w:pPr>
              <w:widowControl/>
              <w:jc w:val="center"/>
              <w:textAlignment w:val="center"/>
              <w:rPr>
                <w:sz w:val="20"/>
                <w:szCs w:val="20"/>
              </w:rPr>
            </w:pPr>
            <w:r>
              <w:rPr>
                <w:rFonts w:hint="eastAsia"/>
                <w:kern w:val="0"/>
                <w:sz w:val="20"/>
                <w:szCs w:val="20"/>
              </w:rPr>
              <w:t>****</w:t>
            </w:r>
          </w:p>
        </w:tc>
        <w:tc>
          <w:tcPr>
            <w:tcW w:w="4087" w:type="dxa"/>
            <w:shd w:val="clear" w:color="auto" w:fill="auto"/>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2028.03-2030.12</w:t>
            </w:r>
          </w:p>
        </w:tc>
        <w:tc>
          <w:tcPr>
            <w:tcW w:w="1912" w:type="dxa"/>
            <w:shd w:val="clear" w:color="auto" w:fill="auto"/>
            <w:vAlign w:val="center"/>
          </w:tcPr>
          <w:p>
            <w:pPr>
              <w:widowControl/>
              <w:jc w:val="center"/>
              <w:textAlignment w:val="center"/>
              <w:rPr>
                <w:sz w:val="20"/>
                <w:szCs w:val="20"/>
              </w:rPr>
            </w:pPr>
            <w:r>
              <w:rPr>
                <w:rFonts w:hint="eastAsia"/>
                <w:sz w:val="20"/>
                <w:szCs w:val="20"/>
              </w:rPr>
              <w:t>*****</w:t>
            </w:r>
          </w:p>
        </w:tc>
        <w:tc>
          <w:tcPr>
            <w:tcW w:w="4087" w:type="dxa"/>
            <w:shd w:val="clear" w:color="auto" w:fill="auto"/>
            <w:vAlign w:val="center"/>
          </w:tcPr>
          <w:p>
            <w:pPr>
              <w:jc w:val="center"/>
              <w:rPr>
                <w:sz w:val="20"/>
                <w:szCs w:val="20"/>
              </w:rPr>
            </w:pPr>
            <w:r>
              <w:rPr>
                <w:sz w:val="20"/>
                <w:szCs w:val="20"/>
              </w:rPr>
              <w:t>剩余2.7年，一次性计提完毕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16" w:type="dxa"/>
            <w:shd w:val="clear" w:color="auto" w:fill="auto"/>
            <w:vAlign w:val="center"/>
          </w:tcPr>
          <w:p>
            <w:pPr>
              <w:widowControl/>
              <w:jc w:val="center"/>
              <w:textAlignment w:val="center"/>
              <w:rPr>
                <w:sz w:val="20"/>
                <w:szCs w:val="20"/>
              </w:rPr>
            </w:pPr>
            <w:r>
              <w:rPr>
                <w:kern w:val="0"/>
                <w:sz w:val="20"/>
                <w:szCs w:val="20"/>
              </w:rPr>
              <w:t>合计</w:t>
            </w:r>
          </w:p>
        </w:tc>
        <w:tc>
          <w:tcPr>
            <w:tcW w:w="1912" w:type="dxa"/>
            <w:shd w:val="clear" w:color="auto" w:fill="auto"/>
            <w:noWrap/>
            <w:vAlign w:val="center"/>
          </w:tcPr>
          <w:p>
            <w:pPr>
              <w:widowControl/>
              <w:jc w:val="center"/>
              <w:textAlignment w:val="center"/>
              <w:rPr>
                <w:sz w:val="22"/>
                <w:szCs w:val="22"/>
              </w:rPr>
            </w:pPr>
            <w:r>
              <w:rPr>
                <w:rFonts w:hint="eastAsia"/>
                <w:kern w:val="0"/>
                <w:sz w:val="22"/>
                <w:szCs w:val="22"/>
              </w:rPr>
              <w:t>*****</w:t>
            </w:r>
          </w:p>
        </w:tc>
        <w:tc>
          <w:tcPr>
            <w:tcW w:w="4087" w:type="dxa"/>
            <w:shd w:val="clear" w:color="auto" w:fill="auto"/>
            <w:noWrap/>
            <w:vAlign w:val="center"/>
          </w:tcPr>
          <w:p>
            <w:pPr>
              <w:jc w:val="center"/>
              <w:rPr>
                <w:sz w:val="20"/>
                <w:szCs w:val="20"/>
              </w:rPr>
            </w:pPr>
          </w:p>
        </w:tc>
      </w:tr>
    </w:tbl>
    <w:p>
      <w:pPr>
        <w:pStyle w:val="5"/>
        <w:spacing w:before="0" w:after="0" w:line="240" w:lineRule="auto"/>
        <w:ind w:firstLine="482"/>
        <w:jc w:val="left"/>
        <w:rPr>
          <w:sz w:val="24"/>
        </w:rPr>
      </w:pPr>
    </w:p>
    <w:p>
      <w:pPr>
        <w:pStyle w:val="5"/>
        <w:spacing w:before="0" w:after="0" w:line="360" w:lineRule="auto"/>
        <w:ind w:firstLine="482"/>
        <w:jc w:val="left"/>
        <w:rPr>
          <w:sz w:val="24"/>
        </w:rPr>
      </w:pPr>
      <w:r>
        <w:rPr>
          <w:b w:val="0"/>
          <w:bCs w:val="0"/>
          <w:sz w:val="24"/>
          <w:szCs w:val="24"/>
        </w:rPr>
        <w:t>（四）监督管理</w:t>
      </w:r>
    </w:p>
    <w:p>
      <w:pPr>
        <w:spacing w:line="360" w:lineRule="auto"/>
        <w:ind w:firstLine="482"/>
        <w:jc w:val="left"/>
      </w:pPr>
      <w:r>
        <w:rPr>
          <w:sz w:val="24"/>
        </w:rPr>
        <w:t>自然资源主管部门负责组织本级发证矿山《方案》审查；按职责对辖区内采矿权人履行矿山生态保护修复义务情况，以及矿山生态修复基金计提、使用和管理工作进行指导和监管。采矿权人应按照《方案》有序开展矿山生态保护修复工作，在采矿许可证有效期限内按周期申请矿山生态保护修复年度验收；在矿山生态保护修复验收过程中，如实提供基金提取、使用的相关凭据、资料。采矿权人应当按要求将《方案》执行、基金计提和使用情况录入矿业权人勘查开采信息公示系统，及时向社 会公示，接受社会监督。</w:t>
      </w:r>
    </w:p>
    <w:p>
      <w:pPr>
        <w:spacing w:line="460" w:lineRule="exact"/>
        <w:ind w:firstLine="480"/>
        <w:rPr>
          <w:rFonts w:eastAsia="仿宋_GB2312"/>
          <w:sz w:val="24"/>
        </w:rPr>
        <w:sectPr>
          <w:pgSz w:w="11907" w:h="16840"/>
          <w:pgMar w:top="1418" w:right="1701" w:bottom="1701" w:left="1797" w:header="720" w:footer="720" w:gutter="0"/>
          <w:cols w:space="720" w:num="1"/>
          <w:docGrid w:linePitch="286" w:charSpace="0"/>
        </w:sectPr>
      </w:pPr>
    </w:p>
    <w:bookmarkEnd w:id="88"/>
    <w:p>
      <w:pPr>
        <w:pStyle w:val="3"/>
        <w:spacing w:before="0" w:after="0" w:line="360" w:lineRule="auto"/>
        <w:jc w:val="center"/>
        <w:rPr>
          <w:b w:val="0"/>
          <w:bCs w:val="0"/>
          <w:sz w:val="30"/>
          <w:szCs w:val="30"/>
        </w:rPr>
      </w:pPr>
      <w:bookmarkStart w:id="89" w:name="_Toc415257389"/>
      <w:bookmarkStart w:id="90" w:name="_Toc130937644"/>
      <w:bookmarkStart w:id="91" w:name="_Toc497862385"/>
      <w:bookmarkStart w:id="92" w:name="_Toc383852452"/>
      <w:bookmarkStart w:id="93" w:name="_Toc436833724"/>
      <w:bookmarkStart w:id="94" w:name="_Toc366676387"/>
      <w:r>
        <w:rPr>
          <w:b w:val="0"/>
          <w:bCs w:val="0"/>
          <w:sz w:val="30"/>
          <w:szCs w:val="30"/>
        </w:rPr>
        <w:t>第六章  保障措施</w:t>
      </w:r>
      <w:bookmarkEnd w:id="89"/>
      <w:bookmarkEnd w:id="90"/>
      <w:bookmarkEnd w:id="91"/>
    </w:p>
    <w:p>
      <w:pPr>
        <w:pStyle w:val="4"/>
        <w:spacing w:before="120" w:after="120" w:line="470" w:lineRule="exact"/>
        <w:jc w:val="left"/>
        <w:rPr>
          <w:rFonts w:ascii="Times New Roman" w:hAnsi="Times New Roman" w:eastAsia="宋体"/>
          <w:b w:val="0"/>
          <w:bCs w:val="0"/>
          <w:sz w:val="28"/>
        </w:rPr>
      </w:pPr>
      <w:bookmarkStart w:id="95" w:name="_Toc497862386"/>
      <w:bookmarkStart w:id="96" w:name="_Toc415257390"/>
      <w:bookmarkStart w:id="97" w:name="_Toc356803030"/>
      <w:bookmarkStart w:id="98" w:name="_Toc130937645"/>
      <w:r>
        <w:rPr>
          <w:rFonts w:ascii="Times New Roman" w:hAnsi="Times New Roman" w:eastAsia="宋体"/>
          <w:b w:val="0"/>
          <w:bCs w:val="0"/>
          <w:sz w:val="28"/>
        </w:rPr>
        <w:t>一、组织管理保障</w:t>
      </w:r>
      <w:bookmarkEnd w:id="95"/>
      <w:bookmarkEnd w:id="96"/>
      <w:bookmarkEnd w:id="97"/>
      <w:bookmarkEnd w:id="98"/>
    </w:p>
    <w:p>
      <w:pPr>
        <w:pStyle w:val="5"/>
        <w:spacing w:before="0" w:after="0" w:line="360" w:lineRule="auto"/>
        <w:jc w:val="left"/>
        <w:rPr>
          <w:b w:val="0"/>
          <w:bCs w:val="0"/>
          <w:sz w:val="24"/>
          <w:szCs w:val="24"/>
        </w:rPr>
      </w:pPr>
      <w:bookmarkStart w:id="99" w:name="_Toc11958"/>
      <w:bookmarkStart w:id="100" w:name="_Toc8901"/>
      <w:bookmarkStart w:id="101" w:name="_Toc11115"/>
      <w:r>
        <w:rPr>
          <w:b w:val="0"/>
          <w:bCs w:val="0"/>
          <w:sz w:val="24"/>
          <w:szCs w:val="24"/>
        </w:rPr>
        <w:t>（一）组织保障</w:t>
      </w:r>
      <w:bookmarkEnd w:id="99"/>
      <w:bookmarkEnd w:id="100"/>
      <w:bookmarkEnd w:id="101"/>
    </w:p>
    <w:p>
      <w:pPr>
        <w:spacing w:line="360" w:lineRule="auto"/>
        <w:ind w:firstLine="480" w:firstLineChars="200"/>
        <w:rPr>
          <w:sz w:val="24"/>
        </w:rPr>
      </w:pPr>
      <w:r>
        <w:rPr>
          <w:sz w:val="24"/>
        </w:rPr>
        <w:t>为了有效保障矿山生态保护修复工作实施，矿山设立生态保护修复管理机构，全面负责矿山生态保护修复工作。按照矿山生产规模，生态保护修复管理机构配备足够的工作人员，同时制订严格的工作制度，落实领导责任制，同时自觉接受地方自然资源主管部门的监督管理。</w:t>
      </w:r>
    </w:p>
    <w:p>
      <w:pPr>
        <w:pStyle w:val="5"/>
        <w:spacing w:before="0" w:after="0" w:line="360" w:lineRule="auto"/>
        <w:jc w:val="left"/>
        <w:rPr>
          <w:b w:val="0"/>
          <w:bCs w:val="0"/>
          <w:sz w:val="24"/>
          <w:szCs w:val="24"/>
        </w:rPr>
      </w:pPr>
      <w:r>
        <w:rPr>
          <w:b w:val="0"/>
          <w:bCs w:val="0"/>
          <w:sz w:val="24"/>
          <w:szCs w:val="24"/>
        </w:rPr>
        <w:t>（二）管理保障</w:t>
      </w:r>
    </w:p>
    <w:p>
      <w:pPr>
        <w:spacing w:line="360" w:lineRule="auto"/>
        <w:ind w:firstLine="480" w:firstLineChars="200"/>
        <w:rPr>
          <w:sz w:val="24"/>
        </w:rPr>
      </w:pPr>
      <w:r>
        <w:rPr>
          <w:sz w:val="24"/>
        </w:rPr>
        <w:t>矿山企业在建立机构的同时，加强与政府主管部门的合作，自觉接受地方主管部门的监督管理。对监督检查中发现的问题应及时处理，以便生态保护修复工作顺利实施。矿山对主管部门的监督检查应做好记录，监督部门对于不符合设计要求或质量要求的工程，责令其重建，直到满足要求。</w:t>
      </w:r>
    </w:p>
    <w:p>
      <w:pPr>
        <w:pStyle w:val="4"/>
        <w:spacing w:before="120" w:after="120" w:line="470" w:lineRule="exact"/>
        <w:jc w:val="left"/>
        <w:rPr>
          <w:rFonts w:ascii="Times New Roman" w:hAnsi="Times New Roman" w:eastAsia="宋体"/>
          <w:b w:val="0"/>
          <w:bCs w:val="0"/>
          <w:sz w:val="28"/>
        </w:rPr>
      </w:pPr>
      <w:bookmarkStart w:id="102" w:name="_Toc130937646"/>
      <w:r>
        <w:rPr>
          <w:rFonts w:ascii="Times New Roman" w:hAnsi="Times New Roman" w:eastAsia="宋体"/>
          <w:b w:val="0"/>
          <w:bCs w:val="0"/>
          <w:sz w:val="28"/>
        </w:rPr>
        <w:t>二、技术保障</w:t>
      </w:r>
      <w:bookmarkEnd w:id="102"/>
    </w:p>
    <w:p>
      <w:pPr>
        <w:spacing w:before="120" w:after="120" w:line="360" w:lineRule="auto"/>
        <w:ind w:firstLine="480" w:firstLineChars="200"/>
        <w:jc w:val="left"/>
        <w:rPr>
          <w:sz w:val="28"/>
        </w:rPr>
      </w:pPr>
      <w:bookmarkStart w:id="103" w:name="_Toc356803031"/>
      <w:bookmarkStart w:id="104" w:name="_Toc415257391"/>
      <w:bookmarkStart w:id="105" w:name="_Toc497862387"/>
      <w:r>
        <w:rPr>
          <w:sz w:val="24"/>
        </w:rPr>
        <w:t>选择有技术优势及具有资质的单位对矿山生态保护修复进行设计、施工及监理，各项工作严格按照有关规定，按年度有序进行。生态保护修复实施中，根据本方案的总体框架，及时总结阶段性生态保护修复实践经验，修订本方案。加强对工作人员的技术培训，确保监测人员能及时发现和解决问题。设立专门办公室，具体负责恢生态保护修复工程的规划指导、监督、检查、组织协调和工程实施，并对其实行目标管理，确保规划设计目标的实现。</w:t>
      </w:r>
    </w:p>
    <w:p>
      <w:pPr>
        <w:pStyle w:val="4"/>
        <w:spacing w:before="120" w:after="120" w:line="470" w:lineRule="exact"/>
        <w:jc w:val="left"/>
        <w:rPr>
          <w:rFonts w:ascii="Times New Roman" w:hAnsi="Times New Roman" w:eastAsia="宋体"/>
          <w:b w:val="0"/>
          <w:bCs w:val="0"/>
          <w:sz w:val="28"/>
        </w:rPr>
      </w:pPr>
      <w:bookmarkStart w:id="106" w:name="_Toc130937647"/>
      <w:r>
        <w:rPr>
          <w:rFonts w:ascii="Times New Roman" w:hAnsi="Times New Roman" w:eastAsia="宋体"/>
          <w:b w:val="0"/>
          <w:bCs w:val="0"/>
          <w:sz w:val="28"/>
        </w:rPr>
        <w:t>三、监管保障</w:t>
      </w:r>
      <w:bookmarkEnd w:id="103"/>
      <w:bookmarkEnd w:id="104"/>
      <w:bookmarkEnd w:id="105"/>
      <w:bookmarkEnd w:id="106"/>
    </w:p>
    <w:p>
      <w:pPr>
        <w:spacing w:line="360" w:lineRule="auto"/>
        <w:ind w:firstLine="480" w:firstLineChars="200"/>
        <w:rPr>
          <w:sz w:val="24"/>
        </w:rPr>
      </w:pPr>
      <w:r>
        <w:rPr>
          <w:sz w:val="24"/>
        </w:rPr>
        <w:t>本方案经批准后不得擅自变更；后期方案若有重大变更的，矿山需向桃江县自然资源主管部门申请，桃江县自然资源主管部门有权依法本方案实施情况进行监督管理；矿山应强化施工管理，严格按照方案要求进行自查，并主动与桃江县自然资源主管部门取得联系，加强与桃江县自然资源主管部门合作，自觉接受桃江县自然资源主管部门的监督管理。</w:t>
      </w:r>
    </w:p>
    <w:p>
      <w:pPr>
        <w:spacing w:line="360" w:lineRule="auto"/>
        <w:ind w:firstLine="480" w:firstLineChars="200"/>
        <w:rPr>
          <w:sz w:val="24"/>
        </w:rPr>
      </w:pPr>
      <w:r>
        <w:rPr>
          <w:sz w:val="24"/>
        </w:rPr>
        <w:t>生产期间定期向桃江县自然资源主管部门报告当年进度情况，并提交年度验收申请，接受桃江县自然资源主管部门对方案实施情况的监督检查，并进行年度验收。各级自然资源主管部门在监管中发现矿业权人不履行矿山生态保护修复义务的，按照法律法规和政策文件的规定，矿业权人应自觉接受桃江县自然资源主管部门及有关部门处罚。</w:t>
      </w:r>
    </w:p>
    <w:p>
      <w:pPr>
        <w:pStyle w:val="4"/>
        <w:spacing w:before="120" w:after="120" w:line="470" w:lineRule="exact"/>
        <w:jc w:val="left"/>
        <w:rPr>
          <w:rFonts w:ascii="Times New Roman" w:hAnsi="Times New Roman" w:eastAsia="宋体"/>
          <w:b w:val="0"/>
          <w:bCs w:val="0"/>
          <w:sz w:val="28"/>
        </w:rPr>
      </w:pPr>
      <w:bookmarkStart w:id="107" w:name="_Toc130937648"/>
      <w:r>
        <w:rPr>
          <w:rFonts w:ascii="Times New Roman" w:hAnsi="Times New Roman" w:eastAsia="宋体"/>
          <w:b w:val="0"/>
          <w:bCs w:val="0"/>
          <w:sz w:val="28"/>
        </w:rPr>
        <w:t>四、适应性管理</w:t>
      </w:r>
      <w:bookmarkEnd w:id="107"/>
    </w:p>
    <w:p>
      <w:pPr>
        <w:spacing w:line="360" w:lineRule="auto"/>
        <w:ind w:firstLine="480" w:firstLineChars="200"/>
        <w:rPr>
          <w:sz w:val="24"/>
        </w:rPr>
      </w:pPr>
      <w:r>
        <w:rPr>
          <w:sz w:val="24"/>
        </w:rPr>
        <w:t>生态保护修复实施中，及时总结阶段性生态保护修复实践经验，制定适应性管理制度，监测矿区水质、粉尘、噪声、生物多样性是否发生新的变化，并根据变化情况及时调整生态保护修复方案及管理方式。</w:t>
      </w:r>
    </w:p>
    <w:p>
      <w:pPr>
        <w:pStyle w:val="4"/>
        <w:spacing w:before="120" w:after="120" w:line="470" w:lineRule="exact"/>
        <w:jc w:val="left"/>
        <w:rPr>
          <w:rFonts w:ascii="Times New Roman" w:hAnsi="Times New Roman" w:eastAsia="宋体"/>
          <w:b w:val="0"/>
          <w:bCs w:val="0"/>
          <w:sz w:val="28"/>
        </w:rPr>
      </w:pPr>
      <w:bookmarkStart w:id="108" w:name="_Toc130937649"/>
      <w:r>
        <w:rPr>
          <w:rFonts w:ascii="Times New Roman" w:hAnsi="Times New Roman" w:eastAsia="宋体"/>
          <w:b w:val="0"/>
          <w:bCs w:val="0"/>
          <w:sz w:val="28"/>
        </w:rPr>
        <w:t>五、公众参与</w:t>
      </w:r>
      <w:bookmarkEnd w:id="108"/>
    </w:p>
    <w:p>
      <w:pPr>
        <w:spacing w:line="460" w:lineRule="exact"/>
        <w:ind w:firstLine="480"/>
        <w:rPr>
          <w:sz w:val="24"/>
        </w:rPr>
      </w:pPr>
      <w:r>
        <w:rPr>
          <w:sz w:val="24"/>
        </w:rPr>
        <w:t>（1）矿山生态保护修复方案编制过程中，得到了益阳市自然资源和规划局、桃江县自然资源局等相关部门的指导和大力支持。通过广泛调查和征求农业、林业、水利等相关部门的意见和建议，根据项目区的社会经济发展状况，结合可持续发展的要求，和谐发展的理念，使本方案更加科学、合理，各项措施操作性更强。</w:t>
      </w:r>
    </w:p>
    <w:p>
      <w:pPr>
        <w:spacing w:line="460" w:lineRule="exact"/>
        <w:ind w:firstLine="480"/>
        <w:rPr>
          <w:sz w:val="24"/>
        </w:rPr>
      </w:pPr>
      <w:r>
        <w:rPr>
          <w:sz w:val="24"/>
        </w:rPr>
        <w:t>（2）同项目建设业主、技术人员一起进行实地踏勘，充分听取业主及周边当地人民群众的意见，获得项目区的基础资料，经综合分析、整理后形成矿山生态保护修复方案简本，并再次征求项目业主和项目区周边当地人民群众的意见，使项目设计方案更切合实情。</w:t>
      </w:r>
    </w:p>
    <w:p>
      <w:pPr>
        <w:spacing w:line="460" w:lineRule="exact"/>
        <w:rPr>
          <w:sz w:val="24"/>
        </w:rPr>
      </w:pPr>
    </w:p>
    <w:p>
      <w:pPr>
        <w:spacing w:line="460" w:lineRule="exact"/>
        <w:ind w:firstLine="480"/>
        <w:rPr>
          <w:rFonts w:eastAsia="仿宋_GB2312"/>
          <w:sz w:val="24"/>
        </w:rPr>
        <w:sectPr>
          <w:footerReference r:id="rId16" w:type="first"/>
          <w:headerReference r:id="rId15" w:type="default"/>
          <w:pgSz w:w="11906" w:h="16838"/>
          <w:pgMar w:top="1440" w:right="1627" w:bottom="1440" w:left="1797" w:header="851" w:footer="992" w:gutter="0"/>
          <w:cols w:space="720" w:num="1"/>
          <w:docGrid w:type="lines" w:linePitch="312" w:charSpace="0"/>
        </w:sectPr>
      </w:pPr>
    </w:p>
    <w:bookmarkEnd w:id="92"/>
    <w:bookmarkEnd w:id="93"/>
    <w:bookmarkEnd w:id="94"/>
    <w:p>
      <w:pPr>
        <w:pStyle w:val="3"/>
        <w:spacing w:before="0" w:after="0" w:line="360" w:lineRule="auto"/>
        <w:jc w:val="center"/>
        <w:rPr>
          <w:b w:val="0"/>
          <w:bCs w:val="0"/>
          <w:sz w:val="30"/>
          <w:szCs w:val="30"/>
        </w:rPr>
      </w:pPr>
      <w:bookmarkStart w:id="109" w:name="_Toc497862391"/>
      <w:bookmarkStart w:id="110" w:name="_Toc266775470"/>
      <w:bookmarkStart w:id="111" w:name="_Toc240880730"/>
      <w:bookmarkStart w:id="112" w:name="_Toc356803035"/>
      <w:bookmarkStart w:id="113" w:name="_Toc415257395"/>
      <w:bookmarkStart w:id="114" w:name="_Toc130937650"/>
      <w:r>
        <w:rPr>
          <w:b w:val="0"/>
          <w:bCs w:val="0"/>
          <w:sz w:val="30"/>
          <w:szCs w:val="30"/>
        </w:rPr>
        <w:t>第七章</w:t>
      </w:r>
      <w:bookmarkEnd w:id="109"/>
      <w:bookmarkEnd w:id="110"/>
      <w:bookmarkEnd w:id="111"/>
      <w:bookmarkEnd w:id="112"/>
      <w:bookmarkEnd w:id="113"/>
      <w:r>
        <w:rPr>
          <w:b w:val="0"/>
          <w:bCs w:val="0"/>
          <w:sz w:val="30"/>
          <w:szCs w:val="30"/>
        </w:rPr>
        <w:t xml:space="preserve">  矿山生态保护修复方案可行性分析</w:t>
      </w:r>
      <w:bookmarkEnd w:id="114"/>
    </w:p>
    <w:p>
      <w:pPr>
        <w:pStyle w:val="4"/>
        <w:spacing w:before="120" w:after="120" w:line="470" w:lineRule="exact"/>
        <w:jc w:val="left"/>
        <w:rPr>
          <w:rFonts w:ascii="Times New Roman" w:hAnsi="Times New Roman" w:eastAsia="宋体"/>
          <w:b w:val="0"/>
          <w:bCs w:val="0"/>
          <w:sz w:val="28"/>
        </w:rPr>
      </w:pPr>
      <w:bookmarkStart w:id="115" w:name="_Toc130937651"/>
      <w:bookmarkStart w:id="116" w:name="_Toc356803036"/>
      <w:r>
        <w:rPr>
          <w:rFonts w:ascii="Times New Roman" w:hAnsi="Times New Roman" w:eastAsia="宋体"/>
          <w:b w:val="0"/>
          <w:bCs w:val="0"/>
          <w:sz w:val="28"/>
        </w:rPr>
        <w:t>一、经济可行性分析</w:t>
      </w:r>
      <w:bookmarkEnd w:id="115"/>
    </w:p>
    <w:p>
      <w:pPr>
        <w:spacing w:line="360" w:lineRule="auto"/>
        <w:ind w:firstLine="482"/>
        <w:rPr>
          <w:sz w:val="24"/>
        </w:rPr>
      </w:pPr>
      <w:bookmarkStart w:id="117" w:name="_Toc86593736"/>
      <w:bookmarkStart w:id="118" w:name="_Toc85355550"/>
      <w:bookmarkStart w:id="119" w:name="_Toc85374569"/>
      <w:bookmarkStart w:id="120" w:name="_Toc16790"/>
      <w:r>
        <w:rPr>
          <w:sz w:val="24"/>
        </w:rPr>
        <w:t>（一）矿山生态保护修复费用</w:t>
      </w:r>
      <w:bookmarkEnd w:id="117"/>
      <w:bookmarkEnd w:id="118"/>
      <w:bookmarkEnd w:id="119"/>
      <w:bookmarkEnd w:id="120"/>
    </w:p>
    <w:p>
      <w:pPr>
        <w:spacing w:line="360" w:lineRule="auto"/>
        <w:ind w:firstLine="480" w:firstLineChars="200"/>
        <w:jc w:val="left"/>
        <w:rPr>
          <w:sz w:val="24"/>
        </w:rPr>
      </w:pPr>
      <w:r>
        <w:rPr>
          <w:sz w:val="24"/>
        </w:rPr>
        <w:t>依据《湖南省国土资源厅关于增值税条件下调整土地整治项目预算计价依据的通知》（湘国土资发〔2017〕24号）、《湖南省住房和城乡建设厅关于调整建设工程销项税额税率和材料综合税率计费标准的通知》（湘建价〔2018〕101号）等相关文件，结合湖南省桃江县浮邱山矿区沙田湾花岗岩矿自身特点，矿山服务年限为7.7年。按照“边开采，边修复的原则”，并且考虑到矿山闭坑后生态修复期1年，加3年管护期，因此，方案设计实施年限＝矿山服务年限+修复工程实施期限+管护期＝7.7+1+3.0=11.7a（2023年3月～2034年12月）。湖南省桃江县浮邱山矿区沙田湾花岗岩矿矿山生态保护工程估算总投资</w:t>
      </w:r>
      <w:r>
        <w:rPr>
          <w:rFonts w:hint="eastAsia"/>
          <w:sz w:val="24"/>
        </w:rPr>
        <w:t>*****</w:t>
      </w:r>
      <w:r>
        <w:rPr>
          <w:sz w:val="24"/>
        </w:rPr>
        <w:t>万元（其中：工程费</w:t>
      </w:r>
      <w:r>
        <w:rPr>
          <w:rFonts w:hint="eastAsia"/>
          <w:sz w:val="24"/>
        </w:rPr>
        <w:t>******</w:t>
      </w:r>
      <w:r>
        <w:rPr>
          <w:sz w:val="24"/>
        </w:rPr>
        <w:t>万元，其他费用</w:t>
      </w:r>
      <w:r>
        <w:rPr>
          <w:rFonts w:hint="eastAsia"/>
          <w:sz w:val="24"/>
        </w:rPr>
        <w:t>****</w:t>
      </w:r>
      <w:r>
        <w:rPr>
          <w:sz w:val="24"/>
        </w:rPr>
        <w:t>万元，不可预见费用</w:t>
      </w:r>
      <w:r>
        <w:rPr>
          <w:rFonts w:hint="eastAsia"/>
          <w:sz w:val="24"/>
        </w:rPr>
        <w:t>*****</w:t>
      </w:r>
      <w:r>
        <w:rPr>
          <w:sz w:val="24"/>
        </w:rPr>
        <w:t>万元）。</w:t>
      </w:r>
    </w:p>
    <w:p>
      <w:pPr>
        <w:spacing w:line="360" w:lineRule="auto"/>
        <w:ind w:firstLine="482"/>
        <w:rPr>
          <w:sz w:val="24"/>
        </w:rPr>
      </w:pPr>
      <w:bookmarkStart w:id="121" w:name="_Toc86593737"/>
      <w:bookmarkStart w:id="122" w:name="_Toc15230"/>
      <w:bookmarkStart w:id="123" w:name="_Toc85374570"/>
      <w:bookmarkStart w:id="124" w:name="_Toc85355551"/>
      <w:r>
        <w:rPr>
          <w:sz w:val="24"/>
        </w:rPr>
        <w:t>（二）矿山经济效益分析</w:t>
      </w:r>
      <w:bookmarkEnd w:id="121"/>
      <w:bookmarkEnd w:id="122"/>
      <w:bookmarkEnd w:id="123"/>
      <w:bookmarkEnd w:id="124"/>
    </w:p>
    <w:p>
      <w:pPr>
        <w:spacing w:line="360" w:lineRule="auto"/>
        <w:ind w:firstLine="482"/>
        <w:rPr>
          <w:sz w:val="24"/>
        </w:rPr>
      </w:pPr>
      <w:r>
        <w:rPr>
          <w:sz w:val="24"/>
        </w:rPr>
        <w:t>1 基本参数</w:t>
      </w:r>
    </w:p>
    <w:p>
      <w:pPr>
        <w:spacing w:line="360" w:lineRule="auto"/>
        <w:ind w:firstLine="480" w:firstLineChars="200"/>
        <w:jc w:val="left"/>
        <w:rPr>
          <w:sz w:val="24"/>
        </w:rPr>
      </w:pPr>
      <w:r>
        <w:rPr>
          <w:sz w:val="24"/>
          <w:lang w:val="zh-CN"/>
        </w:rPr>
        <w:t>根据《湖南省湖南省桃江县浮邱山矿区沙田湾花岗岩矿资源开发</w:t>
      </w:r>
      <w:r>
        <w:rPr>
          <w:sz w:val="24"/>
        </w:rPr>
        <w:t>利用方案》确定湖南省桃江县浮邱山矿区沙田湾花岗岩矿的年产量，计算出年利润，进而进行预估其服务年限内的总利润。</w:t>
      </w:r>
    </w:p>
    <w:p>
      <w:pPr>
        <w:spacing w:line="360" w:lineRule="auto"/>
        <w:ind w:firstLine="480" w:firstLineChars="200"/>
        <w:rPr>
          <w:kern w:val="0"/>
          <w:sz w:val="24"/>
        </w:rPr>
      </w:pPr>
      <w:r>
        <w:rPr>
          <w:kern w:val="0"/>
          <w:sz w:val="24"/>
        </w:rPr>
        <w:t>1、年产出量：生产规模为</w:t>
      </w:r>
      <w:r>
        <w:rPr>
          <w:rFonts w:hint="eastAsia"/>
          <w:kern w:val="0"/>
          <w:sz w:val="24"/>
        </w:rPr>
        <w:t>***</w:t>
      </w:r>
      <w:r>
        <w:rPr>
          <w:kern w:val="0"/>
          <w:sz w:val="24"/>
        </w:rPr>
        <w:t>万t/a，根据矿山保有建筑碎石、建筑用砂</w:t>
      </w:r>
      <w:r>
        <w:rPr>
          <w:rFonts w:hint="eastAsia"/>
          <w:kern w:val="0"/>
          <w:sz w:val="24"/>
        </w:rPr>
        <w:t>、综合利用</w:t>
      </w:r>
      <w:r>
        <w:rPr>
          <w:kern w:val="0"/>
          <w:sz w:val="24"/>
        </w:rPr>
        <w:t>荒料资源量构成比例概算，年产建筑碎石</w:t>
      </w:r>
      <w:r>
        <w:rPr>
          <w:rFonts w:hint="eastAsia"/>
          <w:kern w:val="0"/>
          <w:sz w:val="24"/>
        </w:rPr>
        <w:t>***</w:t>
      </w:r>
      <w:r>
        <w:rPr>
          <w:kern w:val="0"/>
          <w:sz w:val="24"/>
        </w:rPr>
        <w:t>万吨，建筑用砂</w:t>
      </w:r>
      <w:r>
        <w:rPr>
          <w:rFonts w:hint="eastAsia"/>
          <w:kern w:val="0"/>
          <w:sz w:val="24"/>
        </w:rPr>
        <w:t>***</w:t>
      </w:r>
      <w:r>
        <w:rPr>
          <w:kern w:val="0"/>
          <w:sz w:val="24"/>
        </w:rPr>
        <w:t>万吨</w:t>
      </w:r>
      <w:r>
        <w:rPr>
          <w:rFonts w:hint="eastAsia"/>
          <w:kern w:val="0"/>
          <w:sz w:val="24"/>
        </w:rPr>
        <w:t>，综合利用</w:t>
      </w:r>
      <w:r>
        <w:rPr>
          <w:kern w:val="0"/>
          <w:sz w:val="24"/>
        </w:rPr>
        <w:t>荒料</w:t>
      </w:r>
      <w:r>
        <w:rPr>
          <w:rFonts w:hint="eastAsia"/>
          <w:kern w:val="0"/>
          <w:sz w:val="24"/>
        </w:rPr>
        <w:t>**</w:t>
      </w:r>
      <w:r>
        <w:rPr>
          <w:kern w:val="0"/>
          <w:sz w:val="24"/>
        </w:rPr>
        <w:t>万吨。</w:t>
      </w:r>
    </w:p>
    <w:p>
      <w:pPr>
        <w:spacing w:line="360" w:lineRule="auto"/>
        <w:ind w:firstLine="480" w:firstLineChars="200"/>
        <w:jc w:val="left"/>
        <w:rPr>
          <w:sz w:val="24"/>
        </w:rPr>
      </w:pPr>
      <w:r>
        <w:rPr>
          <w:sz w:val="24"/>
        </w:rPr>
        <w:t>2、销售价格与收入：目前建筑碎石销售价格为</w:t>
      </w:r>
      <w:r>
        <w:rPr>
          <w:rFonts w:hint="eastAsia"/>
          <w:sz w:val="24"/>
        </w:rPr>
        <w:t>***</w:t>
      </w:r>
      <w:r>
        <w:rPr>
          <w:sz w:val="24"/>
        </w:rPr>
        <w:t>元/t，建筑用砂销售价格为</w:t>
      </w:r>
      <w:r>
        <w:rPr>
          <w:rFonts w:hint="eastAsia"/>
          <w:sz w:val="24"/>
        </w:rPr>
        <w:t>***</w:t>
      </w:r>
      <w:r>
        <w:rPr>
          <w:sz w:val="24"/>
        </w:rPr>
        <w:t>元/t，花岗岩荒料销售价格为</w:t>
      </w:r>
      <w:r>
        <w:rPr>
          <w:rFonts w:hint="eastAsia"/>
          <w:sz w:val="24"/>
        </w:rPr>
        <w:t>****</w:t>
      </w:r>
      <w:r>
        <w:rPr>
          <w:sz w:val="24"/>
        </w:rPr>
        <w:t>元/t，年收入为</w:t>
      </w:r>
      <w:r>
        <w:rPr>
          <w:rFonts w:hint="eastAsia"/>
          <w:sz w:val="24"/>
        </w:rPr>
        <w:t>*****</w:t>
      </w:r>
      <w:r>
        <w:rPr>
          <w:sz w:val="24"/>
        </w:rPr>
        <w:t>万元（</w:t>
      </w:r>
      <w:r>
        <w:rPr>
          <w:rFonts w:hint="eastAsia"/>
          <w:sz w:val="24"/>
        </w:rPr>
        <w:t>****</w:t>
      </w:r>
      <w:r>
        <w:rPr>
          <w:sz w:val="24"/>
        </w:rPr>
        <w:t>+</w:t>
      </w:r>
      <w:r>
        <w:rPr>
          <w:rFonts w:hint="eastAsia"/>
          <w:sz w:val="24"/>
        </w:rPr>
        <w:t>***</w:t>
      </w:r>
      <w:r>
        <w:rPr>
          <w:sz w:val="24"/>
        </w:rPr>
        <w:t>+</w:t>
      </w:r>
      <w:r>
        <w:rPr>
          <w:rFonts w:hint="eastAsia"/>
          <w:sz w:val="24"/>
        </w:rPr>
        <w:t>***</w:t>
      </w:r>
      <w:r>
        <w:rPr>
          <w:sz w:val="24"/>
        </w:rPr>
        <w:t>）。原矿单位生产成本：</w:t>
      </w:r>
      <w:r>
        <w:rPr>
          <w:rFonts w:hint="eastAsia"/>
          <w:sz w:val="24"/>
        </w:rPr>
        <w:t>**</w:t>
      </w:r>
      <w:r>
        <w:rPr>
          <w:sz w:val="24"/>
        </w:rPr>
        <w:t>元/t，总成本为</w:t>
      </w:r>
      <w:r>
        <w:rPr>
          <w:rFonts w:hint="eastAsia"/>
          <w:sz w:val="24"/>
        </w:rPr>
        <w:t>****</w:t>
      </w:r>
      <w:r>
        <w:rPr>
          <w:sz w:val="24"/>
        </w:rPr>
        <w:t>万元。</w:t>
      </w:r>
    </w:p>
    <w:p>
      <w:pPr>
        <w:spacing w:line="360" w:lineRule="auto"/>
        <w:ind w:firstLine="480" w:firstLineChars="200"/>
        <w:jc w:val="left"/>
        <w:rPr>
          <w:sz w:val="24"/>
        </w:rPr>
      </w:pPr>
      <w:r>
        <w:rPr>
          <w:sz w:val="24"/>
        </w:rPr>
        <w:t>3、上缴税费：综合税率15%（含资源税），税费为</w:t>
      </w:r>
      <w:r>
        <w:rPr>
          <w:rFonts w:hint="eastAsia"/>
          <w:sz w:val="24"/>
        </w:rPr>
        <w:t>****</w:t>
      </w:r>
      <w:r>
        <w:rPr>
          <w:sz w:val="24"/>
        </w:rPr>
        <w:t>万元。</w:t>
      </w:r>
    </w:p>
    <w:p>
      <w:pPr>
        <w:spacing w:line="360" w:lineRule="auto"/>
        <w:ind w:firstLine="480" w:firstLineChars="200"/>
        <w:jc w:val="left"/>
        <w:rPr>
          <w:sz w:val="24"/>
        </w:rPr>
      </w:pPr>
      <w:r>
        <w:rPr>
          <w:rFonts w:hint="eastAsia"/>
          <w:sz w:val="24"/>
        </w:rPr>
        <w:t>4</w:t>
      </w:r>
      <w:r>
        <w:rPr>
          <w:sz w:val="24"/>
        </w:rPr>
        <w:t>、采矿权占用费：</w:t>
      </w:r>
      <w:r>
        <w:rPr>
          <w:rFonts w:hint="eastAsia"/>
          <w:sz w:val="24"/>
        </w:rPr>
        <w:t>****</w:t>
      </w:r>
      <w:r>
        <w:rPr>
          <w:sz w:val="24"/>
        </w:rPr>
        <w:t>万元/a，总占用费为</w:t>
      </w:r>
      <w:r>
        <w:rPr>
          <w:rFonts w:hint="eastAsia"/>
          <w:sz w:val="24"/>
        </w:rPr>
        <w:t>***</w:t>
      </w:r>
      <w:r>
        <w:rPr>
          <w:sz w:val="24"/>
        </w:rPr>
        <w:t>万元。</w:t>
      </w:r>
    </w:p>
    <w:p>
      <w:pPr>
        <w:spacing w:line="360" w:lineRule="auto"/>
        <w:ind w:firstLine="480" w:firstLineChars="200"/>
        <w:jc w:val="left"/>
        <w:rPr>
          <w:sz w:val="24"/>
        </w:rPr>
      </w:pPr>
      <w:r>
        <w:rPr>
          <w:rFonts w:hint="eastAsia"/>
          <w:sz w:val="24"/>
        </w:rPr>
        <w:t>5</w:t>
      </w:r>
      <w:r>
        <w:rPr>
          <w:sz w:val="24"/>
        </w:rPr>
        <w:t>、依据 2008 年元月1日起实行的《中华人民共和国企业所得税法暂行条例》规定，所得税率：25%。</w:t>
      </w:r>
    </w:p>
    <w:p>
      <w:pPr>
        <w:spacing w:line="360" w:lineRule="auto"/>
        <w:ind w:firstLine="480" w:firstLineChars="200"/>
        <w:jc w:val="left"/>
        <w:rPr>
          <w:sz w:val="24"/>
        </w:rPr>
      </w:pPr>
      <w:r>
        <w:rPr>
          <w:rFonts w:hint="eastAsia"/>
          <w:sz w:val="24"/>
        </w:rPr>
        <w:t>6</w:t>
      </w:r>
      <w:r>
        <w:rPr>
          <w:sz w:val="24"/>
        </w:rPr>
        <w:t>、矿山环境治理恢复基金：企业自提，暂无标准。</w:t>
      </w:r>
    </w:p>
    <w:p>
      <w:pPr>
        <w:spacing w:line="460" w:lineRule="exact"/>
        <w:ind w:firstLine="480"/>
        <w:rPr>
          <w:sz w:val="24"/>
        </w:rPr>
      </w:pPr>
      <w:r>
        <w:rPr>
          <w:sz w:val="24"/>
        </w:rPr>
        <w:t>（三）效益分析</w:t>
      </w:r>
    </w:p>
    <w:p>
      <w:pPr>
        <w:pStyle w:val="2"/>
        <w:spacing w:after="0" w:line="360" w:lineRule="auto"/>
        <w:ind w:firstLine="480" w:firstLineChars="200"/>
        <w:rPr>
          <w:kern w:val="0"/>
          <w:sz w:val="24"/>
        </w:rPr>
      </w:pPr>
      <w:r>
        <w:rPr>
          <w:kern w:val="0"/>
          <w:sz w:val="24"/>
        </w:rPr>
        <w:t>本项目的经济评价以国家计委和建设部颁发的《建设项目经济评价方法与参数》(第三版)为依据，符合现行的财务制度及现行税制。分析结果详见表7-1。</w:t>
      </w:r>
    </w:p>
    <w:p>
      <w:pPr>
        <w:jc w:val="center"/>
        <w:rPr>
          <w:szCs w:val="21"/>
        </w:rPr>
      </w:pPr>
      <w:r>
        <w:rPr>
          <w:szCs w:val="21"/>
        </w:rPr>
        <w:t xml:space="preserve">表7-1    详细明细表       </w:t>
      </w:r>
    </w:p>
    <w:tbl>
      <w:tblPr>
        <w:tblStyle w:val="34"/>
        <w:tblpPr w:leftFromText="180" w:rightFromText="180" w:vertAnchor="text" w:horzAnchor="page" w:tblpX="1725" w:tblpY="47"/>
        <w:tblOverlap w:val="never"/>
        <w:tblW w:w="891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5"/>
        <w:gridCol w:w="2235"/>
        <w:gridCol w:w="4224"/>
        <w:gridCol w:w="16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blHeader/>
        </w:trPr>
        <w:tc>
          <w:tcPr>
            <w:tcW w:w="795" w:type="dxa"/>
            <w:tcBorders>
              <w:tl2br w:val="nil"/>
              <w:tr2bl w:val="nil"/>
            </w:tcBorders>
            <w:vAlign w:val="center"/>
          </w:tcPr>
          <w:p>
            <w:pPr>
              <w:adjustRightInd w:val="0"/>
              <w:snapToGrid w:val="0"/>
              <w:jc w:val="center"/>
            </w:pPr>
            <w:r>
              <w:t>序号</w:t>
            </w:r>
          </w:p>
        </w:tc>
        <w:tc>
          <w:tcPr>
            <w:tcW w:w="2235" w:type="dxa"/>
            <w:tcBorders>
              <w:tl2br w:val="nil"/>
              <w:tr2bl w:val="nil"/>
            </w:tcBorders>
            <w:vAlign w:val="center"/>
          </w:tcPr>
          <w:p>
            <w:pPr>
              <w:adjustRightInd w:val="0"/>
              <w:snapToGrid w:val="0"/>
              <w:jc w:val="center"/>
            </w:pPr>
            <w:r>
              <w:t>指标名称</w:t>
            </w:r>
          </w:p>
        </w:tc>
        <w:tc>
          <w:tcPr>
            <w:tcW w:w="4224" w:type="dxa"/>
            <w:tcBorders>
              <w:tl2br w:val="nil"/>
              <w:tr2bl w:val="nil"/>
            </w:tcBorders>
            <w:vAlign w:val="center"/>
          </w:tcPr>
          <w:p>
            <w:pPr>
              <w:adjustRightInd w:val="0"/>
              <w:snapToGrid w:val="0"/>
              <w:jc w:val="center"/>
            </w:pPr>
            <w:r>
              <w:t>计算公式</w:t>
            </w:r>
          </w:p>
        </w:tc>
        <w:tc>
          <w:tcPr>
            <w:tcW w:w="1663" w:type="dxa"/>
            <w:tcBorders>
              <w:tl2br w:val="nil"/>
              <w:tr2bl w:val="nil"/>
            </w:tcBorders>
            <w:vAlign w:val="center"/>
          </w:tcPr>
          <w:p>
            <w:pPr>
              <w:adjustRightInd w:val="0"/>
              <w:snapToGrid w:val="0"/>
              <w:jc w:val="center"/>
            </w:pPr>
            <w:r>
              <w:t>数值（万元）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9" w:hRule="exact"/>
        </w:trPr>
        <w:tc>
          <w:tcPr>
            <w:tcW w:w="795" w:type="dxa"/>
            <w:tcBorders>
              <w:tl2br w:val="nil"/>
              <w:tr2bl w:val="nil"/>
            </w:tcBorders>
            <w:vAlign w:val="center"/>
          </w:tcPr>
          <w:p>
            <w:pPr>
              <w:adjustRightInd w:val="0"/>
              <w:snapToGrid w:val="0"/>
              <w:jc w:val="center"/>
            </w:pPr>
            <w:r>
              <w:t>1</w:t>
            </w:r>
          </w:p>
        </w:tc>
        <w:tc>
          <w:tcPr>
            <w:tcW w:w="2235" w:type="dxa"/>
            <w:tcBorders>
              <w:tl2br w:val="nil"/>
              <w:tr2bl w:val="nil"/>
            </w:tcBorders>
            <w:vAlign w:val="center"/>
          </w:tcPr>
          <w:p>
            <w:pPr>
              <w:adjustRightInd w:val="0"/>
              <w:snapToGrid w:val="0"/>
              <w:jc w:val="center"/>
            </w:pPr>
            <w:r>
              <w:t>销售收入</w:t>
            </w:r>
          </w:p>
        </w:tc>
        <w:tc>
          <w:tcPr>
            <w:tcW w:w="4224" w:type="dxa"/>
            <w:tcBorders>
              <w:tl2br w:val="nil"/>
              <w:tr2bl w:val="nil"/>
            </w:tcBorders>
            <w:vAlign w:val="center"/>
          </w:tcPr>
          <w:p>
            <w:pPr>
              <w:adjustRightInd w:val="0"/>
              <w:snapToGrid w:val="0"/>
              <w:jc w:val="center"/>
            </w:pPr>
            <w:r>
              <w:t>6.4万t×100.0元/t+69.8万t×50.0元/t+3.8万t×65.0元/t（含税）</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2</w:t>
            </w:r>
          </w:p>
        </w:tc>
        <w:tc>
          <w:tcPr>
            <w:tcW w:w="2235" w:type="dxa"/>
            <w:tcBorders>
              <w:tl2br w:val="nil"/>
              <w:tr2bl w:val="nil"/>
            </w:tcBorders>
            <w:vAlign w:val="center"/>
          </w:tcPr>
          <w:p>
            <w:pPr>
              <w:adjustRightInd w:val="0"/>
              <w:snapToGrid w:val="0"/>
              <w:jc w:val="center"/>
            </w:pPr>
            <w:r>
              <w:t>生产成本</w:t>
            </w:r>
          </w:p>
        </w:tc>
        <w:tc>
          <w:tcPr>
            <w:tcW w:w="4224" w:type="dxa"/>
            <w:tcBorders>
              <w:tl2br w:val="nil"/>
              <w:tr2bl w:val="nil"/>
            </w:tcBorders>
            <w:vAlign w:val="center"/>
          </w:tcPr>
          <w:p>
            <w:pPr>
              <w:adjustRightInd w:val="0"/>
              <w:snapToGrid w:val="0"/>
              <w:jc w:val="center"/>
            </w:pPr>
            <w:r>
              <w:t>80.0万t×</w:t>
            </w:r>
            <w:r>
              <w:rPr>
                <w:rFonts w:hint="eastAsia"/>
              </w:rPr>
              <w:t>26</w:t>
            </w:r>
            <w:r>
              <w:t>.0元/t</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3</w:t>
            </w:r>
          </w:p>
        </w:tc>
        <w:tc>
          <w:tcPr>
            <w:tcW w:w="2235" w:type="dxa"/>
            <w:tcBorders>
              <w:tl2br w:val="nil"/>
              <w:tr2bl w:val="nil"/>
            </w:tcBorders>
            <w:vAlign w:val="center"/>
          </w:tcPr>
          <w:p>
            <w:pPr>
              <w:adjustRightInd w:val="0"/>
              <w:snapToGrid w:val="0"/>
              <w:jc w:val="center"/>
            </w:pPr>
            <w:r>
              <w:t>销售税费</w:t>
            </w:r>
          </w:p>
        </w:tc>
        <w:tc>
          <w:tcPr>
            <w:tcW w:w="4224" w:type="dxa"/>
            <w:tcBorders>
              <w:tl2br w:val="nil"/>
              <w:tr2bl w:val="nil"/>
            </w:tcBorders>
            <w:vAlign w:val="center"/>
          </w:tcPr>
          <w:p>
            <w:pPr>
              <w:adjustRightInd w:val="0"/>
              <w:snapToGrid w:val="0"/>
              <w:jc w:val="center"/>
            </w:pPr>
            <w:r>
              <w:t>4377.00万元×15%</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4</w:t>
            </w:r>
          </w:p>
        </w:tc>
        <w:tc>
          <w:tcPr>
            <w:tcW w:w="2235" w:type="dxa"/>
            <w:tcBorders>
              <w:tl2br w:val="nil"/>
              <w:tr2bl w:val="nil"/>
            </w:tcBorders>
            <w:vAlign w:val="center"/>
          </w:tcPr>
          <w:p>
            <w:pPr>
              <w:adjustRightInd w:val="0"/>
              <w:snapToGrid w:val="0"/>
              <w:jc w:val="center"/>
            </w:pPr>
            <w:r>
              <w:t>采矿权使用费</w:t>
            </w:r>
          </w:p>
        </w:tc>
        <w:tc>
          <w:tcPr>
            <w:tcW w:w="4224" w:type="dxa"/>
            <w:tcBorders>
              <w:tl2br w:val="nil"/>
              <w:tr2bl w:val="nil"/>
            </w:tcBorders>
            <w:vAlign w:val="center"/>
          </w:tcPr>
          <w:p>
            <w:pPr>
              <w:adjustRightInd w:val="0"/>
              <w:snapToGrid w:val="0"/>
              <w:jc w:val="center"/>
            </w:pPr>
            <w:r>
              <w:t>0.05（S＜0.5Km</w:t>
            </w:r>
            <w:r>
              <w:rPr>
                <w:vertAlign w:val="superscript"/>
              </w:rPr>
              <w:t>2</w:t>
            </w:r>
            <w:r>
              <w:t>）万元</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5</w:t>
            </w:r>
          </w:p>
        </w:tc>
        <w:tc>
          <w:tcPr>
            <w:tcW w:w="2235" w:type="dxa"/>
            <w:tcBorders>
              <w:tl2br w:val="nil"/>
              <w:tr2bl w:val="nil"/>
            </w:tcBorders>
            <w:vAlign w:val="center"/>
          </w:tcPr>
          <w:p>
            <w:pPr>
              <w:adjustRightInd w:val="0"/>
              <w:snapToGrid w:val="0"/>
              <w:jc w:val="center"/>
            </w:pPr>
            <w:r>
              <w:t>年利润总额</w:t>
            </w:r>
          </w:p>
        </w:tc>
        <w:tc>
          <w:tcPr>
            <w:tcW w:w="4224" w:type="dxa"/>
            <w:tcBorders>
              <w:tl2br w:val="nil"/>
              <w:tr2bl w:val="nil"/>
            </w:tcBorders>
            <w:vAlign w:val="center"/>
          </w:tcPr>
          <w:p>
            <w:pPr>
              <w:adjustRightInd w:val="0"/>
              <w:snapToGrid w:val="0"/>
              <w:jc w:val="center"/>
            </w:pPr>
            <w:r>
              <w:t>1-（2+3+4）</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6</w:t>
            </w:r>
          </w:p>
        </w:tc>
        <w:tc>
          <w:tcPr>
            <w:tcW w:w="2235" w:type="dxa"/>
            <w:tcBorders>
              <w:tl2br w:val="nil"/>
              <w:tr2bl w:val="nil"/>
            </w:tcBorders>
            <w:vAlign w:val="center"/>
          </w:tcPr>
          <w:p>
            <w:pPr>
              <w:adjustRightInd w:val="0"/>
              <w:snapToGrid w:val="0"/>
              <w:jc w:val="center"/>
            </w:pPr>
            <w:r>
              <w:t>年所得税</w:t>
            </w:r>
          </w:p>
        </w:tc>
        <w:tc>
          <w:tcPr>
            <w:tcW w:w="4224" w:type="dxa"/>
            <w:tcBorders>
              <w:tl2br w:val="nil"/>
              <w:tr2bl w:val="nil"/>
            </w:tcBorders>
            <w:vAlign w:val="center"/>
          </w:tcPr>
          <w:p>
            <w:pPr>
              <w:adjustRightInd w:val="0"/>
              <w:snapToGrid w:val="0"/>
              <w:jc w:val="center"/>
            </w:pPr>
            <w:r>
              <w:rPr>
                <w:rFonts w:hint="eastAsia"/>
              </w:rPr>
              <w:t>1640</w:t>
            </w:r>
            <w:r>
              <w:t>.40万元×25%</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 w:hRule="exact"/>
        </w:trPr>
        <w:tc>
          <w:tcPr>
            <w:tcW w:w="795" w:type="dxa"/>
            <w:tcBorders>
              <w:tl2br w:val="nil"/>
              <w:tr2bl w:val="nil"/>
            </w:tcBorders>
            <w:vAlign w:val="center"/>
          </w:tcPr>
          <w:p>
            <w:pPr>
              <w:adjustRightInd w:val="0"/>
              <w:snapToGrid w:val="0"/>
              <w:jc w:val="center"/>
            </w:pPr>
            <w:r>
              <w:t>7</w:t>
            </w:r>
          </w:p>
        </w:tc>
        <w:tc>
          <w:tcPr>
            <w:tcW w:w="2235" w:type="dxa"/>
            <w:tcBorders>
              <w:tl2br w:val="nil"/>
              <w:tr2bl w:val="nil"/>
            </w:tcBorders>
            <w:vAlign w:val="center"/>
          </w:tcPr>
          <w:p>
            <w:pPr>
              <w:adjustRightInd w:val="0"/>
              <w:snapToGrid w:val="0"/>
              <w:jc w:val="center"/>
            </w:pPr>
            <w:r>
              <w:t>年税后利润</w:t>
            </w:r>
          </w:p>
        </w:tc>
        <w:tc>
          <w:tcPr>
            <w:tcW w:w="4224" w:type="dxa"/>
            <w:tcBorders>
              <w:tl2br w:val="nil"/>
              <w:tr2bl w:val="nil"/>
            </w:tcBorders>
            <w:vAlign w:val="center"/>
          </w:tcPr>
          <w:p>
            <w:pPr>
              <w:adjustRightInd w:val="0"/>
              <w:snapToGrid w:val="0"/>
              <w:jc w:val="center"/>
            </w:pPr>
            <w:r>
              <w:rPr>
                <w:rFonts w:hint="eastAsia"/>
              </w:rPr>
              <w:t>******</w:t>
            </w:r>
            <w:r>
              <w:t>万元-</w:t>
            </w:r>
            <w:r>
              <w:rPr>
                <w:rFonts w:hint="eastAsia"/>
              </w:rPr>
              <w:t>******</w:t>
            </w:r>
            <w:r>
              <w:t>万元</w:t>
            </w:r>
          </w:p>
        </w:tc>
        <w:tc>
          <w:tcPr>
            <w:tcW w:w="1663" w:type="dxa"/>
            <w:tcBorders>
              <w:tl2br w:val="nil"/>
              <w:tr2bl w:val="nil"/>
            </w:tcBorders>
            <w:vAlign w:val="center"/>
          </w:tcPr>
          <w:p>
            <w:pPr>
              <w:adjustRightInd w:val="0"/>
              <w:snapToGrid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3" w:hRule="exact"/>
        </w:trPr>
        <w:tc>
          <w:tcPr>
            <w:tcW w:w="795" w:type="dxa"/>
            <w:tcBorders>
              <w:tl2br w:val="nil"/>
              <w:tr2bl w:val="nil"/>
            </w:tcBorders>
            <w:vAlign w:val="center"/>
          </w:tcPr>
          <w:p>
            <w:pPr>
              <w:adjustRightInd w:val="0"/>
              <w:snapToGrid w:val="0"/>
              <w:jc w:val="center"/>
            </w:pPr>
            <w:r>
              <w:t>8</w:t>
            </w:r>
          </w:p>
        </w:tc>
        <w:tc>
          <w:tcPr>
            <w:tcW w:w="2235" w:type="dxa"/>
            <w:tcBorders>
              <w:tl2br w:val="nil"/>
              <w:tr2bl w:val="nil"/>
            </w:tcBorders>
            <w:vAlign w:val="center"/>
          </w:tcPr>
          <w:p>
            <w:pPr>
              <w:adjustRightInd w:val="0"/>
              <w:snapToGrid w:val="0"/>
              <w:jc w:val="center"/>
            </w:pPr>
            <w:r>
              <w:t>矿山环境治理恢复基金</w:t>
            </w:r>
          </w:p>
        </w:tc>
        <w:tc>
          <w:tcPr>
            <w:tcW w:w="4224" w:type="dxa"/>
            <w:tcBorders>
              <w:tl2br w:val="nil"/>
              <w:tr2bl w:val="nil"/>
            </w:tcBorders>
            <w:vAlign w:val="center"/>
          </w:tcPr>
          <w:p>
            <w:pPr>
              <w:adjustRightInd w:val="0"/>
              <w:snapToGrid w:val="0"/>
              <w:jc w:val="center"/>
            </w:pPr>
            <w:r>
              <w:t>企业自提，暂无标准</w:t>
            </w:r>
          </w:p>
        </w:tc>
        <w:tc>
          <w:tcPr>
            <w:tcW w:w="1663" w:type="dxa"/>
            <w:tcBorders>
              <w:tl2br w:val="nil"/>
              <w:tr2bl w:val="nil"/>
            </w:tcBorders>
            <w:vAlign w:val="center"/>
          </w:tcPr>
          <w:p>
            <w:pPr>
              <w:adjustRightInd w:val="0"/>
              <w:snapToGrid w:val="0"/>
              <w:jc w:val="center"/>
            </w:pPr>
          </w:p>
        </w:tc>
      </w:tr>
    </w:tbl>
    <w:p>
      <w:pPr>
        <w:spacing w:line="360" w:lineRule="auto"/>
        <w:ind w:firstLine="480" w:firstLineChars="200"/>
        <w:jc w:val="left"/>
      </w:pPr>
      <w:r>
        <w:rPr>
          <w:sz w:val="24"/>
        </w:rPr>
        <w:t>从表中可以看出，本矿山企业效益较好，社会效益明显；不但给国家和地方上缴各种税费</w:t>
      </w:r>
      <w:r>
        <w:rPr>
          <w:rFonts w:hint="eastAsia"/>
          <w:sz w:val="24"/>
        </w:rPr>
        <w:t>******</w:t>
      </w:r>
      <w:r>
        <w:rPr>
          <w:sz w:val="24"/>
        </w:rPr>
        <w:t>万元，同时可安排当地富余劳动力，为活跃当地经济增添一份力量。预计矿山总投资人</w:t>
      </w:r>
      <w:r>
        <w:rPr>
          <w:rFonts w:hint="eastAsia"/>
          <w:sz w:val="24"/>
        </w:rPr>
        <w:t>*******</w:t>
      </w:r>
      <w:r>
        <w:rPr>
          <w:sz w:val="24"/>
        </w:rPr>
        <w:t>万元，年净利润</w:t>
      </w:r>
      <w:r>
        <w:rPr>
          <w:rFonts w:hint="eastAsia"/>
          <w:sz w:val="24"/>
        </w:rPr>
        <w:t>******</w:t>
      </w:r>
      <w:r>
        <w:rPr>
          <w:sz w:val="24"/>
        </w:rPr>
        <w:t>万元，投资回收期约</w:t>
      </w:r>
      <w:r>
        <w:rPr>
          <w:rFonts w:hint="eastAsia"/>
          <w:sz w:val="24"/>
        </w:rPr>
        <w:t>***</w:t>
      </w:r>
      <w:r>
        <w:rPr>
          <w:sz w:val="24"/>
        </w:rPr>
        <w:t>年，矿山经济效益较好，矿山建设适宜。</w:t>
      </w:r>
    </w:p>
    <w:p>
      <w:pPr>
        <w:pStyle w:val="4"/>
        <w:spacing w:before="120" w:after="120" w:line="470" w:lineRule="exact"/>
        <w:jc w:val="left"/>
        <w:rPr>
          <w:rFonts w:ascii="Times New Roman" w:hAnsi="Times New Roman" w:eastAsia="宋体"/>
          <w:b w:val="0"/>
          <w:bCs w:val="0"/>
          <w:sz w:val="28"/>
        </w:rPr>
      </w:pPr>
      <w:bookmarkStart w:id="125" w:name="_Toc130937652"/>
      <w:r>
        <w:rPr>
          <w:rFonts w:ascii="Times New Roman" w:hAnsi="Times New Roman" w:eastAsia="宋体"/>
          <w:b w:val="0"/>
          <w:bCs w:val="0"/>
          <w:sz w:val="28"/>
        </w:rPr>
        <w:t>二、技术可行性分析</w:t>
      </w:r>
      <w:bookmarkEnd w:id="125"/>
    </w:p>
    <w:p>
      <w:pPr>
        <w:pStyle w:val="5"/>
        <w:spacing w:before="0" w:after="0" w:line="360" w:lineRule="auto"/>
        <w:jc w:val="left"/>
        <w:rPr>
          <w:b w:val="0"/>
          <w:bCs w:val="0"/>
          <w:sz w:val="24"/>
          <w:szCs w:val="24"/>
        </w:rPr>
      </w:pPr>
      <w:r>
        <w:rPr>
          <w:b w:val="0"/>
          <w:bCs w:val="0"/>
          <w:sz w:val="24"/>
          <w:szCs w:val="24"/>
        </w:rPr>
        <w:t>（一）矿山生态保护措施技术可行性分析</w:t>
      </w:r>
    </w:p>
    <w:p>
      <w:pPr>
        <w:spacing w:line="460" w:lineRule="exact"/>
        <w:ind w:firstLine="480"/>
        <w:rPr>
          <w:sz w:val="24"/>
        </w:rPr>
      </w:pPr>
      <w:bookmarkStart w:id="126" w:name="_Hlk70677531"/>
      <w:r>
        <w:rPr>
          <w:sz w:val="24"/>
        </w:rPr>
        <w:t>本方案对矿山水生态水环境保护措施为砌建截排水沟及修建沉砂池，并定时清淤工程；该措施在目前国内是常用于处理一般雨污水最成熟的处理工艺，经处理后的水质符合《地表水环境质量标准》（GB3838－2002）Ⅲ类水标准，该技术成熟、可操作强；因此，矿山水生态水环境保护措施技术科学、合理、可行。</w:t>
      </w:r>
    </w:p>
    <w:p>
      <w:pPr>
        <w:spacing w:line="460" w:lineRule="exact"/>
        <w:ind w:firstLine="480"/>
        <w:rPr>
          <w:sz w:val="24"/>
        </w:rPr>
      </w:pPr>
      <w:r>
        <w:rPr>
          <w:sz w:val="24"/>
        </w:rPr>
        <w:t>针对矿山露采边坡可能产生崩塌地质灾害问题，拟采取的措施主要有：边坡坡面危岩、浮石清理，境界外砌建截水沟，并加强监测，经过长期实践，此方法科学、合理、可行。</w:t>
      </w:r>
    </w:p>
    <w:p>
      <w:pPr>
        <w:pStyle w:val="5"/>
        <w:spacing w:before="0" w:after="0" w:line="360" w:lineRule="auto"/>
        <w:jc w:val="left"/>
        <w:rPr>
          <w:b w:val="0"/>
          <w:bCs w:val="0"/>
          <w:sz w:val="24"/>
          <w:szCs w:val="24"/>
        </w:rPr>
      </w:pPr>
      <w:r>
        <w:rPr>
          <w:b w:val="0"/>
          <w:bCs w:val="0"/>
          <w:sz w:val="24"/>
          <w:szCs w:val="24"/>
        </w:rPr>
        <w:t>（二）矿山生态修复措施技术可行性分析</w:t>
      </w:r>
    </w:p>
    <w:p>
      <w:pPr>
        <w:spacing w:line="460" w:lineRule="exact"/>
        <w:ind w:firstLine="480"/>
        <w:rPr>
          <w:sz w:val="24"/>
        </w:rPr>
      </w:pPr>
      <w:r>
        <w:rPr>
          <w:sz w:val="24"/>
        </w:rPr>
        <w:t>本着恢复与周边地表景观相协调的原则，并能促进当地农业的发展，落实相应的生态恢复措施，配套截排水沟、生态袋、储水池等，就地取材用碎石浆砌截排水沟、储水池侧壁。选择乡土植被，体现生物多样性，具较强的操作性。该矿山生态修复工程属于较为常规的复垦工程，我国在矿山生态修复技术己积累许多实践经验；矿山生态修复工程实施后既可以减少矿山开采造成的水土流失、减轻生态环境的破坏，营造良好的生态环境，有利于矿山员工以及附近居民的身心健康；复垦后林地的经营管理需要劳动力，能够为矿山周边居民提供更多的就业机会，对于提高当地农民收入，维护社会安定起到积极的促进作用。因此，矿山生态修复措施技术科学、合理、可行。</w:t>
      </w:r>
    </w:p>
    <w:bookmarkEnd w:id="126"/>
    <w:p>
      <w:pPr>
        <w:pStyle w:val="4"/>
        <w:spacing w:before="120" w:after="120" w:line="470" w:lineRule="exact"/>
        <w:jc w:val="left"/>
        <w:rPr>
          <w:rFonts w:ascii="Times New Roman" w:hAnsi="Times New Roman" w:eastAsia="宋体"/>
          <w:b w:val="0"/>
          <w:bCs w:val="0"/>
          <w:sz w:val="28"/>
        </w:rPr>
      </w:pPr>
      <w:bookmarkStart w:id="127" w:name="_Toc130937653"/>
      <w:r>
        <w:rPr>
          <w:rFonts w:ascii="Times New Roman" w:hAnsi="Times New Roman" w:eastAsia="宋体"/>
          <w:b w:val="0"/>
          <w:bCs w:val="0"/>
          <w:sz w:val="28"/>
        </w:rPr>
        <w:t>三、生态环境可行性分析</w:t>
      </w:r>
      <w:bookmarkEnd w:id="127"/>
    </w:p>
    <w:p>
      <w:pPr>
        <w:spacing w:line="460" w:lineRule="exact"/>
        <w:ind w:firstLine="480"/>
        <w:rPr>
          <w:sz w:val="24"/>
        </w:rPr>
      </w:pPr>
      <w:r>
        <w:rPr>
          <w:sz w:val="24"/>
        </w:rPr>
        <w:t>矿山生态保护修复工程方案实施后，将使矿区内地质灾害得到防治，矿山生态问题得到治理，矿区地下水和地表水土环境不再会受到污染威胁，避免了矿山地质灾害引起的生态环境破坏和水土环境破坏引起的生态退化等矿山开采对生态环境、人居环境的负面影响，生态环境的改善有助于植被的恢复和保持生态的稳定，将对局部环境空气和小气候产生正效与长效影响，通过生态系统对空气的净化，继续保持本区域的良好的大气环境质量；随着矿区整治复绿工作的完成，绿树成荫、环境优美、空气清新的绿色矿山景观必将产生明显的环境效益，满足当地居民对生态修复的预期要求与可接受度。</w:t>
      </w:r>
    </w:p>
    <w:p>
      <w:pPr>
        <w:pStyle w:val="2"/>
      </w:pPr>
    </w:p>
    <w:p>
      <w:pPr>
        <w:sectPr>
          <w:pgSz w:w="11906" w:h="16838"/>
          <w:pgMar w:top="1440" w:right="1627" w:bottom="1440" w:left="1797" w:header="851" w:footer="992" w:gutter="0"/>
          <w:cols w:space="720" w:num="1"/>
          <w:docGrid w:type="lines" w:linePitch="312" w:charSpace="0"/>
        </w:sectPr>
      </w:pPr>
    </w:p>
    <w:p>
      <w:pPr>
        <w:pStyle w:val="3"/>
        <w:spacing w:before="0" w:after="0" w:line="360" w:lineRule="auto"/>
        <w:jc w:val="center"/>
        <w:rPr>
          <w:b w:val="0"/>
          <w:bCs w:val="0"/>
          <w:sz w:val="30"/>
          <w:szCs w:val="30"/>
        </w:rPr>
      </w:pPr>
      <w:bookmarkStart w:id="128" w:name="_Toc130937654"/>
      <w:r>
        <w:rPr>
          <w:b w:val="0"/>
          <w:bCs w:val="0"/>
          <w:sz w:val="30"/>
          <w:szCs w:val="30"/>
        </w:rPr>
        <w:t>第八章   结论与建议</w:t>
      </w:r>
      <w:bookmarkEnd w:id="128"/>
    </w:p>
    <w:bookmarkEnd w:id="75"/>
    <w:bookmarkEnd w:id="116"/>
    <w:p>
      <w:pPr>
        <w:pStyle w:val="4"/>
        <w:spacing w:before="120" w:after="120" w:line="470" w:lineRule="exact"/>
        <w:jc w:val="left"/>
        <w:rPr>
          <w:rFonts w:ascii="Times New Roman" w:hAnsi="Times New Roman" w:eastAsia="宋体"/>
          <w:b w:val="0"/>
          <w:bCs w:val="0"/>
          <w:sz w:val="28"/>
        </w:rPr>
      </w:pPr>
      <w:bookmarkStart w:id="129" w:name="_Toc19704_WPSOffice_Level2"/>
      <w:bookmarkStart w:id="130" w:name="_Toc12103"/>
      <w:bookmarkStart w:id="131" w:name="_Toc130937655"/>
      <w:r>
        <w:rPr>
          <w:rFonts w:ascii="Times New Roman" w:hAnsi="Times New Roman" w:eastAsia="宋体"/>
          <w:b w:val="0"/>
          <w:bCs w:val="0"/>
          <w:sz w:val="28"/>
        </w:rPr>
        <w:t>一、结论</w:t>
      </w:r>
      <w:bookmarkEnd w:id="129"/>
      <w:bookmarkEnd w:id="130"/>
      <w:bookmarkEnd w:id="131"/>
    </w:p>
    <w:p>
      <w:pPr>
        <w:spacing w:line="460" w:lineRule="exact"/>
        <w:ind w:firstLine="480"/>
        <w:rPr>
          <w:sz w:val="24"/>
        </w:rPr>
      </w:pPr>
      <w:r>
        <w:rPr>
          <w:sz w:val="24"/>
        </w:rPr>
        <w:t>1、方案通过矿山生态问题识别和诊断，矿山现存在的露采场、矿部及矿山公路对地形地貌景观和土地资源造成一定的占损破坏；后续开发生产任然会对土地资源造成毁损。</w:t>
      </w:r>
    </w:p>
    <w:p>
      <w:pPr>
        <w:spacing w:line="460" w:lineRule="exact"/>
        <w:ind w:firstLine="480"/>
        <w:rPr>
          <w:sz w:val="24"/>
        </w:rPr>
      </w:pPr>
      <w:r>
        <w:rPr>
          <w:sz w:val="24"/>
        </w:rPr>
        <w:t>2、《方案》通过部署矿山工业广场和矿部、露采底盘区、边坡平台土地复垦复绿等工程，能减少损毁土地资源和对地形地貌的影响；通过部署生态修复管护工程，能保障土地复垦工程的质量，实现生态修复土地复垦科学化、规范化、标准化，保持区域生态系统功能稳定；通过防护栏工程，可防止无关人员误入开采区内发生危险事故，有效恢复自然环境。</w:t>
      </w:r>
    </w:p>
    <w:p>
      <w:pPr>
        <w:spacing w:line="460" w:lineRule="exact"/>
        <w:ind w:firstLine="480"/>
        <w:rPr>
          <w:sz w:val="24"/>
        </w:rPr>
      </w:pPr>
      <w:r>
        <w:rPr>
          <w:sz w:val="24"/>
        </w:rPr>
        <w:t>3、《方案》估算适用年限（11.7）内，湖南省桃江县浮邱山矿区沙田湾花岗岩矿矿山生态保护工程估算总投资</w:t>
      </w:r>
      <w:r>
        <w:rPr>
          <w:rFonts w:hint="eastAsia"/>
          <w:sz w:val="24"/>
        </w:rPr>
        <w:t>******</w:t>
      </w:r>
      <w:r>
        <w:rPr>
          <w:sz w:val="24"/>
        </w:rPr>
        <w:t>万元（其中：工程费</w:t>
      </w:r>
      <w:r>
        <w:rPr>
          <w:rFonts w:hint="eastAsia"/>
          <w:sz w:val="24"/>
        </w:rPr>
        <w:t>*****</w:t>
      </w:r>
      <w:r>
        <w:rPr>
          <w:sz w:val="24"/>
        </w:rPr>
        <w:t>万元，其他费用</w:t>
      </w:r>
      <w:r>
        <w:rPr>
          <w:rFonts w:hint="eastAsia"/>
          <w:sz w:val="24"/>
        </w:rPr>
        <w:t>*****</w:t>
      </w:r>
      <w:r>
        <w:rPr>
          <w:sz w:val="24"/>
        </w:rPr>
        <w:t>万元，不可预见费用</w:t>
      </w:r>
      <w:r>
        <w:rPr>
          <w:rFonts w:hint="eastAsia"/>
          <w:sz w:val="24"/>
        </w:rPr>
        <w:t>****</w:t>
      </w:r>
      <w:r>
        <w:rPr>
          <w:sz w:val="24"/>
        </w:rPr>
        <w:t>万元）。矿山开采年限为7.7年，生态保护修复基金计划在6年内提取完。</w:t>
      </w:r>
    </w:p>
    <w:p>
      <w:pPr>
        <w:spacing w:line="460" w:lineRule="exact"/>
        <w:ind w:firstLine="480"/>
        <w:rPr>
          <w:sz w:val="24"/>
        </w:rPr>
      </w:pPr>
      <w:r>
        <w:rPr>
          <w:sz w:val="24"/>
        </w:rPr>
        <w:t>4、结合《方案》诊断的矿山生态问题，经过经济、技术、环境可行性分析，矿山采取科学合理的生态保护修复措施后，不会影响矿区局部生态系统的生态功能，矿山可以继续开采。</w:t>
      </w:r>
    </w:p>
    <w:p>
      <w:pPr>
        <w:pStyle w:val="4"/>
        <w:spacing w:before="120" w:after="120" w:line="470" w:lineRule="exact"/>
        <w:jc w:val="left"/>
        <w:rPr>
          <w:rFonts w:ascii="Times New Roman" w:hAnsi="Times New Roman" w:eastAsia="宋体"/>
          <w:b w:val="0"/>
          <w:bCs w:val="0"/>
          <w:sz w:val="28"/>
        </w:rPr>
      </w:pPr>
      <w:bookmarkStart w:id="132" w:name="_Toc130937656"/>
      <w:bookmarkStart w:id="133" w:name="_Toc22616_WPSOffice_Level2"/>
      <w:bookmarkStart w:id="134" w:name="_Toc10792"/>
      <w:r>
        <w:rPr>
          <w:rFonts w:ascii="Times New Roman" w:hAnsi="Times New Roman" w:eastAsia="宋体"/>
          <w:b w:val="0"/>
          <w:bCs w:val="0"/>
          <w:sz w:val="28"/>
        </w:rPr>
        <w:t>二、建议</w:t>
      </w:r>
      <w:bookmarkEnd w:id="132"/>
      <w:bookmarkEnd w:id="133"/>
      <w:bookmarkEnd w:id="134"/>
    </w:p>
    <w:p>
      <w:pPr>
        <w:spacing w:line="460" w:lineRule="exact"/>
        <w:ind w:firstLine="480"/>
        <w:rPr>
          <w:sz w:val="24"/>
        </w:rPr>
      </w:pPr>
      <w:r>
        <w:rPr>
          <w:sz w:val="24"/>
        </w:rPr>
        <w:t>1、应按照《方案》提出的措施进行矿山生态保护修复和维护；</w:t>
      </w:r>
    </w:p>
    <w:p>
      <w:pPr>
        <w:spacing w:line="460" w:lineRule="exact"/>
        <w:ind w:firstLine="480"/>
        <w:rPr>
          <w:sz w:val="24"/>
        </w:rPr>
      </w:pPr>
      <w:r>
        <w:rPr>
          <w:sz w:val="24"/>
        </w:rPr>
        <w:t>2、搞好水环境监测，矿山废水一定要达标排放。本方案对于矿山的环境问题、安全生产问题只做定性评价，矿山开采对水土环境的污染应遵守环保部门的标准</w:t>
      </w:r>
    </w:p>
    <w:p>
      <w:pPr>
        <w:spacing w:line="460" w:lineRule="exact"/>
        <w:ind w:firstLine="480"/>
        <w:rPr>
          <w:sz w:val="24"/>
        </w:rPr>
      </w:pPr>
      <w:r>
        <w:rPr>
          <w:sz w:val="24"/>
        </w:rPr>
        <w:t>3、</w:t>
      </w:r>
      <w:bookmarkStart w:id="135" w:name="_Hlk109169685"/>
      <w:r>
        <w:rPr>
          <w:sz w:val="24"/>
        </w:rPr>
        <w:t>矿山应注意剥离表土、采矿过程中剔除的废石应分类堆放，便于下一步综合利用；</w:t>
      </w:r>
      <w:bookmarkEnd w:id="135"/>
    </w:p>
    <w:p>
      <w:pPr>
        <w:spacing w:line="460" w:lineRule="exact"/>
        <w:ind w:firstLine="480"/>
        <w:rPr>
          <w:sz w:val="24"/>
        </w:rPr>
      </w:pPr>
      <w:r>
        <w:rPr>
          <w:sz w:val="24"/>
        </w:rPr>
        <w:t>4、本方案中所涉及的工程设计图、工程估算不能代表实际施工过程中施工图及费用估算，矿山实施治理与复垦工作的时候，应该聘请有专业资质的单位对工程进行重新设计及费用预算等。</w:t>
      </w:r>
    </w:p>
    <w:p>
      <w:pPr>
        <w:pStyle w:val="2"/>
        <w:rPr>
          <w:sz w:val="24"/>
        </w:rPr>
      </w:pPr>
    </w:p>
    <w:p/>
    <w:sectPr>
      <w:headerReference r:id="rId19" w:type="first"/>
      <w:footerReference r:id="rId22" w:type="first"/>
      <w:headerReference r:id="rId17" w:type="default"/>
      <w:footerReference r:id="rId20" w:type="default"/>
      <w:headerReference r:id="rId18" w:type="even"/>
      <w:footerReference r:id="rId21" w:type="even"/>
      <w:pgSz w:w="11906" w:h="16838"/>
      <w:pgMar w:top="1440" w:right="162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pict>
        <v:shape id="_x0000_s2052" o:spid="_x0000_s2052"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BU+a0AAAAAMBAAAPAAAAAAAAAAEAIAAAACIAAABkcnMv&#10;ZG93bnJldi54bWxQSwECFAAUAAAACACHTuJAnCrlzgsCAAAGBAAADgAAAAAAAAABACAAAAAfAQAA&#10;ZHJzL2Uyb0RvYy54bWxQSwUGAAAAAAYABgBZAQAAnAUAAAAA&#10;">
          <v:path/>
          <v:fill on="f" focussize="0,0"/>
          <v:stroke on="f" joinstyle="miter"/>
          <v:imagedata o:title=""/>
          <o:lock v:ext="edit"/>
          <v:textbox inset="0mm,0mm,0mm,0mm" style="mso-fit-shape-to-text:t;">
            <w:txbxContent>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163219"/>
    </w:sdtPr>
    <w:sdtContent>
      <w:p>
        <w:pPr>
          <w:pStyle w:val="19"/>
          <w:jc w:val="center"/>
        </w:pPr>
        <w:r>
          <w:fldChar w:fldCharType="begin"/>
        </w:r>
        <w:r>
          <w:instrText xml:space="preserve"> PAGE   \* MERGEFORMAT </w:instrText>
        </w:r>
        <w:r>
          <w:fldChar w:fldCharType="separate"/>
        </w:r>
        <w:r>
          <w:rPr>
            <w:lang w:val="zh-CN"/>
          </w:rPr>
          <w:t>83</w:t>
        </w:r>
        <w:r>
          <w:rPr>
            <w:lang w:val="zh-CN"/>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pPr>
    <w:r>
      <w:fldChar w:fldCharType="begin"/>
    </w:r>
    <w:r>
      <w:instrText xml:space="preserve">PAGE  </w:instrText>
    </w:r>
    <w:r>
      <w:fldChar w:fldCharType="separate"/>
    </w:r>
    <w:r>
      <w:t>48</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pict>
        <v:shape id="_x0000_s2051" o:spid="_x0000_s2051"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BU+a0AAAAAMBAAAPAAAAAAAAAAEAIAAAACIAAABkcnMv&#10;ZG93bnJldi54bWxQSwECFAAUAAAACACHTuJAPhjPIgsCAAAGBAAADgAAAAAAAAABACAAAAAfAQAA&#10;ZHJzL2Uyb0RvYy54bWxQSwUGAAAAAAYABgBZAQAAnAUAAAAA&#10;">
          <v:path/>
          <v:fill on="f" focussize="0,0"/>
          <v:stroke on="f" joinstyle="miter"/>
          <v:imagedata o:title=""/>
          <o:lock v:ext="edit"/>
          <v:textbox inset="0mm,0mm,0mm,0mm" style="mso-fit-shape-to-text:t;">
            <w:txbxConten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pict>
        <v:shape id="_x0000_s2050" o:spid="_x0000_s2050"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BU+a0AAAAAMBAAAPAAAAAAAAAAEAIAAAACIAAABkcnMv&#10;ZG93bnJldi54bWxQSwECFAAUAAAACACHTuJAyPD7GgsCAAAGBAAADgAAAAAAAAABACAAAAAfAQAA&#10;ZHJzL2Uyb0RvYy54bWxQSwUGAAAAAAYABgBZAQAAnAUAAAAA&#10;">
          <v:path/>
          <v:fill on="f" focussize="0,0"/>
          <v:stroke on="f" joinstyle="miter"/>
          <v:imagedata o:title=""/>
          <o:lock v:ext="edit"/>
          <v:textbox inset="0mm,0mm,0mm,0mm" style="mso-fit-shape-to-text:t;">
            <w:txbxContent>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231537"/>
    </w:sdtPr>
    <w:sdtContent>
      <w:p>
        <w:pPr>
          <w:pStyle w:val="7"/>
          <w:jc w:val="center"/>
        </w:pPr>
        <w:r>
          <w:fldChar w:fldCharType="begin"/>
        </w:r>
        <w:r>
          <w:instrText xml:space="preserve">PAGE   \* MERGEFORMAT</w:instrText>
        </w:r>
        <w:r>
          <w:fldChar w:fldCharType="separate"/>
        </w:r>
        <w:r>
          <w:rPr>
            <w:lang w:val="zh-CN"/>
          </w:rPr>
          <w:t>16</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22</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8454660"/>
    </w:sdtPr>
    <w:sdtContent>
      <w:p>
        <w:pPr>
          <w:pStyle w:val="7"/>
          <w:jc w:val="center"/>
        </w:pPr>
        <w:r>
          <w:fldChar w:fldCharType="begin"/>
        </w:r>
        <w:r>
          <w:instrText xml:space="preserve">PAGE   \* MERGEFORMAT</w:instrText>
        </w:r>
        <w:r>
          <w:fldChar w:fldCharType="separate"/>
        </w:r>
        <w:r>
          <w:rPr>
            <w:lang w:val="zh-CN"/>
          </w:rPr>
          <w:t>26</w:t>
        </w:r>
        <w:r>
          <w:rPr>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59064"/>
    </w:sdtPr>
    <w:sdtContent>
      <w:p>
        <w:pPr>
          <w:pStyle w:val="7"/>
          <w:jc w:val="center"/>
        </w:pPr>
        <w:r>
          <w:fldChar w:fldCharType="begin"/>
        </w:r>
        <w:r>
          <w:instrText xml:space="preserve">PAGE   \* MERGEFORMAT</w:instrText>
        </w:r>
        <w:r>
          <w:fldChar w:fldCharType="separate"/>
        </w:r>
        <w:r>
          <w:rPr>
            <w:lang w:val="zh-CN"/>
          </w:rPr>
          <w:t>27</w:t>
        </w:r>
        <w:r>
          <w:rPr>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22985"/>
    </w:sdtPr>
    <w:sdtContent>
      <w:p>
        <w:pPr>
          <w:pStyle w:val="7"/>
          <w:jc w:val="center"/>
        </w:pPr>
        <w:r>
          <w:fldChar w:fldCharType="begin"/>
        </w:r>
        <w:r>
          <w:instrText xml:space="preserve">PAGE   \* MERGEFORMAT</w:instrText>
        </w:r>
        <w:r>
          <w:fldChar w:fldCharType="separate"/>
        </w:r>
        <w:r>
          <w:rPr>
            <w:lang w:val="zh-CN"/>
          </w:rPr>
          <w:t>64</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49" o:spid="_x0000_s2049" o:spt="202" type="#_x0000_t202" style="position:absolute;left:0pt;margin-top:0pt;height:12.05pt;width:9.05pt;mso-position-horizontal:outside;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BU+a0AAAAAMBAAAPAAAAAAAAAAEAIAAAACIAAABkcnMv&#10;ZG93bnJldi54bWxQSwECFAAUAAAACACHTuJA2iepOwsCAAAGBAAADgAAAAAAAAABACAAAAAfAQAA&#10;ZHJzL2Uyb0RvYy54bWxQSwUGAAAAAAYABgBZAQAAnAUAAAAA&#10;">
          <v:path/>
          <v:fill on="f" focussize="0,0"/>
          <v:stroke on="f" joinstyle="miter"/>
          <v:imagedata o:title=""/>
          <o:lock v:ext="edit"/>
          <v:textbox inset="0mm,0mm,0mm,0mm" style="mso-fit-shape-to-text:t;">
            <w:txbxContent>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83BE2"/>
    <w:multiLevelType w:val="singleLevel"/>
    <w:tmpl w:val="A3B83BE2"/>
    <w:lvl w:ilvl="0" w:tentative="0">
      <w:start w:val="3"/>
      <w:numFmt w:val="chineseCounting"/>
      <w:suff w:val="space"/>
      <w:lvlText w:val="第%1章"/>
      <w:lvlJc w:val="left"/>
      <w:rPr>
        <w:rFonts w:hint="eastAsia"/>
      </w:rPr>
    </w:lvl>
  </w:abstractNum>
  <w:abstractNum w:abstractNumId="1">
    <w:nsid w:val="4661B301"/>
    <w:multiLevelType w:val="singleLevel"/>
    <w:tmpl w:val="4661B301"/>
    <w:lvl w:ilvl="0" w:tentative="0">
      <w:start w:val="4"/>
      <w:numFmt w:val="chineseCounting"/>
      <w:suff w:val="nothing"/>
      <w:lvlText w:val="（%1）"/>
      <w:lvlJc w:val="left"/>
      <w:rPr>
        <w:rFonts w:hint="eastAsia"/>
      </w:rPr>
    </w:lvl>
  </w:abstractNum>
  <w:abstractNum w:abstractNumId="2">
    <w:nsid w:val="485108B1"/>
    <w:multiLevelType w:val="multilevel"/>
    <w:tmpl w:val="485108B1"/>
    <w:lvl w:ilvl="0" w:tentative="0">
      <w:start w:val="1"/>
      <w:numFmt w:val="japaneseCounting"/>
      <w:lvlText w:val="%1、"/>
      <w:lvlJc w:val="left"/>
      <w:pPr>
        <w:ind w:left="576" w:hanging="57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D77419"/>
    <w:multiLevelType w:val="singleLevel"/>
    <w:tmpl w:val="4ED77419"/>
    <w:lvl w:ilvl="0" w:tentative="0">
      <w:start w:val="3"/>
      <w:numFmt w:val="decimal"/>
      <w:suff w:val="nothing"/>
      <w:lvlText w:val="（%1）"/>
      <w:lvlJc w:val="left"/>
    </w:lvl>
  </w:abstractNum>
  <w:abstractNum w:abstractNumId="4">
    <w:nsid w:val="598A6214"/>
    <w:multiLevelType w:val="singleLevel"/>
    <w:tmpl w:val="598A6214"/>
    <w:lvl w:ilvl="0" w:tentative="0">
      <w:start w:val="3"/>
      <w:numFmt w:val="chineseCounting"/>
      <w:pStyle w:val="144"/>
      <w:suff w:val="nothing"/>
      <w:lvlText w:val="%1、"/>
      <w:lvlJc w:val="left"/>
    </w:lvl>
  </w:abstractNum>
  <w:abstractNum w:abstractNumId="5">
    <w:nsid w:val="6653ADE8"/>
    <w:multiLevelType w:val="singleLevel"/>
    <w:tmpl w:val="6653ADE8"/>
    <w:lvl w:ilvl="0" w:tentative="0">
      <w:start w:val="2"/>
      <w:numFmt w:val="upperLetter"/>
      <w:suff w:val="nothing"/>
      <w:lvlText w:val="%1、"/>
      <w:lvlJc w:val="left"/>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VhYTEyZDFjNWVhNmNhNWFmMzk5OWJiZTNkMmRiYWUifQ=="/>
  </w:docVars>
  <w:rsids>
    <w:rsidRoot w:val="00627F21"/>
    <w:rsid w:val="0000530A"/>
    <w:rsid w:val="00013935"/>
    <w:rsid w:val="000140FE"/>
    <w:rsid w:val="00014D6D"/>
    <w:rsid w:val="00015147"/>
    <w:rsid w:val="00017588"/>
    <w:rsid w:val="0002079C"/>
    <w:rsid w:val="000303C3"/>
    <w:rsid w:val="000312AD"/>
    <w:rsid w:val="000367F3"/>
    <w:rsid w:val="00037DAC"/>
    <w:rsid w:val="00043179"/>
    <w:rsid w:val="000443AB"/>
    <w:rsid w:val="00045E8B"/>
    <w:rsid w:val="0004774F"/>
    <w:rsid w:val="000561B1"/>
    <w:rsid w:val="00057084"/>
    <w:rsid w:val="00060AC6"/>
    <w:rsid w:val="00072588"/>
    <w:rsid w:val="000754B9"/>
    <w:rsid w:val="000762B6"/>
    <w:rsid w:val="000763EB"/>
    <w:rsid w:val="00081224"/>
    <w:rsid w:val="00082C69"/>
    <w:rsid w:val="000844A6"/>
    <w:rsid w:val="000853F7"/>
    <w:rsid w:val="000903C4"/>
    <w:rsid w:val="00090991"/>
    <w:rsid w:val="00090A91"/>
    <w:rsid w:val="000949AE"/>
    <w:rsid w:val="000A137D"/>
    <w:rsid w:val="000A6168"/>
    <w:rsid w:val="000A7EB9"/>
    <w:rsid w:val="000B7150"/>
    <w:rsid w:val="000C17B9"/>
    <w:rsid w:val="000C4B5E"/>
    <w:rsid w:val="000D18C7"/>
    <w:rsid w:val="000D33F5"/>
    <w:rsid w:val="000D5F74"/>
    <w:rsid w:val="000D7E2D"/>
    <w:rsid w:val="000E1571"/>
    <w:rsid w:val="000E25C8"/>
    <w:rsid w:val="000E2E7A"/>
    <w:rsid w:val="000F0A4A"/>
    <w:rsid w:val="000F0E7C"/>
    <w:rsid w:val="00121D26"/>
    <w:rsid w:val="00126541"/>
    <w:rsid w:val="00131ECF"/>
    <w:rsid w:val="001324B9"/>
    <w:rsid w:val="0013407E"/>
    <w:rsid w:val="0013760E"/>
    <w:rsid w:val="00150438"/>
    <w:rsid w:val="00154D24"/>
    <w:rsid w:val="00154E7C"/>
    <w:rsid w:val="00157CE1"/>
    <w:rsid w:val="00157CE9"/>
    <w:rsid w:val="00161C11"/>
    <w:rsid w:val="00161C34"/>
    <w:rsid w:val="001631F4"/>
    <w:rsid w:val="001644CD"/>
    <w:rsid w:val="00170578"/>
    <w:rsid w:val="00176B53"/>
    <w:rsid w:val="0017710B"/>
    <w:rsid w:val="00181024"/>
    <w:rsid w:val="0018262A"/>
    <w:rsid w:val="00185C2A"/>
    <w:rsid w:val="00186275"/>
    <w:rsid w:val="0018709D"/>
    <w:rsid w:val="00187D1E"/>
    <w:rsid w:val="00193B36"/>
    <w:rsid w:val="00194ED1"/>
    <w:rsid w:val="00196616"/>
    <w:rsid w:val="001A1273"/>
    <w:rsid w:val="001A1CC3"/>
    <w:rsid w:val="001A3CD2"/>
    <w:rsid w:val="001A7CCA"/>
    <w:rsid w:val="001B1228"/>
    <w:rsid w:val="001B2354"/>
    <w:rsid w:val="001B408F"/>
    <w:rsid w:val="001B4C3D"/>
    <w:rsid w:val="001B61CF"/>
    <w:rsid w:val="001B7BEC"/>
    <w:rsid w:val="001C1595"/>
    <w:rsid w:val="001C5213"/>
    <w:rsid w:val="001C578D"/>
    <w:rsid w:val="001D0BDA"/>
    <w:rsid w:val="001D1E70"/>
    <w:rsid w:val="001D30DC"/>
    <w:rsid w:val="001D48A2"/>
    <w:rsid w:val="001D7C34"/>
    <w:rsid w:val="001E3B0B"/>
    <w:rsid w:val="001E682D"/>
    <w:rsid w:val="001E766C"/>
    <w:rsid w:val="001F2D1C"/>
    <w:rsid w:val="001F3110"/>
    <w:rsid w:val="001F35AB"/>
    <w:rsid w:val="001F39B1"/>
    <w:rsid w:val="001F7280"/>
    <w:rsid w:val="002010F0"/>
    <w:rsid w:val="00206CEF"/>
    <w:rsid w:val="002103FA"/>
    <w:rsid w:val="00216452"/>
    <w:rsid w:val="0022455A"/>
    <w:rsid w:val="00226D29"/>
    <w:rsid w:val="00233EC1"/>
    <w:rsid w:val="00237199"/>
    <w:rsid w:val="0024045F"/>
    <w:rsid w:val="00245003"/>
    <w:rsid w:val="002450CD"/>
    <w:rsid w:val="00247943"/>
    <w:rsid w:val="002538AE"/>
    <w:rsid w:val="002557ED"/>
    <w:rsid w:val="002564FA"/>
    <w:rsid w:val="002570BB"/>
    <w:rsid w:val="0026051F"/>
    <w:rsid w:val="00267548"/>
    <w:rsid w:val="002768F6"/>
    <w:rsid w:val="00276C0E"/>
    <w:rsid w:val="00290D51"/>
    <w:rsid w:val="00293D44"/>
    <w:rsid w:val="00294144"/>
    <w:rsid w:val="002960D5"/>
    <w:rsid w:val="00296845"/>
    <w:rsid w:val="0029780B"/>
    <w:rsid w:val="002A21CF"/>
    <w:rsid w:val="002A5504"/>
    <w:rsid w:val="002A710D"/>
    <w:rsid w:val="002C2162"/>
    <w:rsid w:val="002C5D5C"/>
    <w:rsid w:val="002D4BB4"/>
    <w:rsid w:val="002D7017"/>
    <w:rsid w:val="002E39CC"/>
    <w:rsid w:val="002E752B"/>
    <w:rsid w:val="002E75D2"/>
    <w:rsid w:val="002F2A87"/>
    <w:rsid w:val="002F406F"/>
    <w:rsid w:val="002F4FCF"/>
    <w:rsid w:val="002F73B0"/>
    <w:rsid w:val="0030169A"/>
    <w:rsid w:val="00302229"/>
    <w:rsid w:val="00302907"/>
    <w:rsid w:val="00305933"/>
    <w:rsid w:val="00307850"/>
    <w:rsid w:val="00310234"/>
    <w:rsid w:val="00311EF1"/>
    <w:rsid w:val="00320CCF"/>
    <w:rsid w:val="0032207F"/>
    <w:rsid w:val="003243A4"/>
    <w:rsid w:val="0033191D"/>
    <w:rsid w:val="003540F9"/>
    <w:rsid w:val="003549F6"/>
    <w:rsid w:val="00355583"/>
    <w:rsid w:val="00361B4F"/>
    <w:rsid w:val="0036312D"/>
    <w:rsid w:val="00365DF3"/>
    <w:rsid w:val="0037159A"/>
    <w:rsid w:val="00372AFF"/>
    <w:rsid w:val="003748EA"/>
    <w:rsid w:val="00375161"/>
    <w:rsid w:val="00375779"/>
    <w:rsid w:val="00377C38"/>
    <w:rsid w:val="00377E50"/>
    <w:rsid w:val="00386633"/>
    <w:rsid w:val="00393EE4"/>
    <w:rsid w:val="003A0ED7"/>
    <w:rsid w:val="003A16E8"/>
    <w:rsid w:val="003A2E99"/>
    <w:rsid w:val="003A4986"/>
    <w:rsid w:val="003C0B01"/>
    <w:rsid w:val="003C227E"/>
    <w:rsid w:val="003C71D9"/>
    <w:rsid w:val="003D15AA"/>
    <w:rsid w:val="003E308A"/>
    <w:rsid w:val="003E59AC"/>
    <w:rsid w:val="003E6016"/>
    <w:rsid w:val="003F2D8A"/>
    <w:rsid w:val="003F7C99"/>
    <w:rsid w:val="00400F7A"/>
    <w:rsid w:val="004016E2"/>
    <w:rsid w:val="00411794"/>
    <w:rsid w:val="0041196D"/>
    <w:rsid w:val="00411D19"/>
    <w:rsid w:val="00415CB1"/>
    <w:rsid w:val="0042135D"/>
    <w:rsid w:val="0042172F"/>
    <w:rsid w:val="00424948"/>
    <w:rsid w:val="004407CA"/>
    <w:rsid w:val="0044462A"/>
    <w:rsid w:val="00447F9A"/>
    <w:rsid w:val="0045262D"/>
    <w:rsid w:val="00462E1E"/>
    <w:rsid w:val="00465A1D"/>
    <w:rsid w:val="00466355"/>
    <w:rsid w:val="0047346C"/>
    <w:rsid w:val="00481DBB"/>
    <w:rsid w:val="00482D12"/>
    <w:rsid w:val="0048317E"/>
    <w:rsid w:val="00490F84"/>
    <w:rsid w:val="004934C1"/>
    <w:rsid w:val="0049531B"/>
    <w:rsid w:val="004A4A5A"/>
    <w:rsid w:val="004B38D6"/>
    <w:rsid w:val="004B4EE4"/>
    <w:rsid w:val="004B618F"/>
    <w:rsid w:val="004B6C8A"/>
    <w:rsid w:val="004B7955"/>
    <w:rsid w:val="004C2DEF"/>
    <w:rsid w:val="004C4B52"/>
    <w:rsid w:val="004C7EBD"/>
    <w:rsid w:val="004D0ECC"/>
    <w:rsid w:val="004D3627"/>
    <w:rsid w:val="004D6BF7"/>
    <w:rsid w:val="004D760D"/>
    <w:rsid w:val="004E247F"/>
    <w:rsid w:val="004E519C"/>
    <w:rsid w:val="004E69FD"/>
    <w:rsid w:val="004F6B26"/>
    <w:rsid w:val="00500DC0"/>
    <w:rsid w:val="00502A3B"/>
    <w:rsid w:val="005120E9"/>
    <w:rsid w:val="00512216"/>
    <w:rsid w:val="0051261D"/>
    <w:rsid w:val="00520174"/>
    <w:rsid w:val="005256A1"/>
    <w:rsid w:val="00525E8A"/>
    <w:rsid w:val="00527A51"/>
    <w:rsid w:val="00527B19"/>
    <w:rsid w:val="00532249"/>
    <w:rsid w:val="0053562E"/>
    <w:rsid w:val="005356D9"/>
    <w:rsid w:val="00542273"/>
    <w:rsid w:val="0054566E"/>
    <w:rsid w:val="0055147B"/>
    <w:rsid w:val="00554FB4"/>
    <w:rsid w:val="0055586E"/>
    <w:rsid w:val="00560141"/>
    <w:rsid w:val="00562EAA"/>
    <w:rsid w:val="00571FDA"/>
    <w:rsid w:val="00580CC3"/>
    <w:rsid w:val="00582E2A"/>
    <w:rsid w:val="005842A0"/>
    <w:rsid w:val="0058562E"/>
    <w:rsid w:val="00587A55"/>
    <w:rsid w:val="005939FB"/>
    <w:rsid w:val="005957B4"/>
    <w:rsid w:val="005A23AD"/>
    <w:rsid w:val="005A2980"/>
    <w:rsid w:val="005B4826"/>
    <w:rsid w:val="005B69E6"/>
    <w:rsid w:val="005D1D18"/>
    <w:rsid w:val="005D26B8"/>
    <w:rsid w:val="005D3744"/>
    <w:rsid w:val="005F3F46"/>
    <w:rsid w:val="00601849"/>
    <w:rsid w:val="00601E69"/>
    <w:rsid w:val="00604E29"/>
    <w:rsid w:val="00611F89"/>
    <w:rsid w:val="00613340"/>
    <w:rsid w:val="00613E8F"/>
    <w:rsid w:val="006170B5"/>
    <w:rsid w:val="00617574"/>
    <w:rsid w:val="00623F6F"/>
    <w:rsid w:val="00627F21"/>
    <w:rsid w:val="006304B7"/>
    <w:rsid w:val="0063460B"/>
    <w:rsid w:val="0064378F"/>
    <w:rsid w:val="00650CE9"/>
    <w:rsid w:val="00651099"/>
    <w:rsid w:val="006541D3"/>
    <w:rsid w:val="006569D9"/>
    <w:rsid w:val="006629C2"/>
    <w:rsid w:val="00665A5A"/>
    <w:rsid w:val="00665FF5"/>
    <w:rsid w:val="00676FF3"/>
    <w:rsid w:val="00680165"/>
    <w:rsid w:val="00680774"/>
    <w:rsid w:val="00680BFA"/>
    <w:rsid w:val="006875FB"/>
    <w:rsid w:val="00687653"/>
    <w:rsid w:val="00690391"/>
    <w:rsid w:val="00695EB5"/>
    <w:rsid w:val="006A122E"/>
    <w:rsid w:val="006A3533"/>
    <w:rsid w:val="006A3A51"/>
    <w:rsid w:val="006A3B96"/>
    <w:rsid w:val="006A3FFA"/>
    <w:rsid w:val="006A5E37"/>
    <w:rsid w:val="006B01EC"/>
    <w:rsid w:val="006C00DC"/>
    <w:rsid w:val="006C1499"/>
    <w:rsid w:val="006C4804"/>
    <w:rsid w:val="006C543E"/>
    <w:rsid w:val="006C75BA"/>
    <w:rsid w:val="006E30E8"/>
    <w:rsid w:val="006E4BAF"/>
    <w:rsid w:val="006E4D7D"/>
    <w:rsid w:val="006E74F0"/>
    <w:rsid w:val="006F0B44"/>
    <w:rsid w:val="00701F57"/>
    <w:rsid w:val="00705684"/>
    <w:rsid w:val="007118DD"/>
    <w:rsid w:val="00712992"/>
    <w:rsid w:val="00717F2F"/>
    <w:rsid w:val="00721AC9"/>
    <w:rsid w:val="00724487"/>
    <w:rsid w:val="00726012"/>
    <w:rsid w:val="00726381"/>
    <w:rsid w:val="00726B8E"/>
    <w:rsid w:val="00727BB0"/>
    <w:rsid w:val="00735710"/>
    <w:rsid w:val="00740603"/>
    <w:rsid w:val="00741491"/>
    <w:rsid w:val="007451DD"/>
    <w:rsid w:val="0075036F"/>
    <w:rsid w:val="00753888"/>
    <w:rsid w:val="00760731"/>
    <w:rsid w:val="00764CEE"/>
    <w:rsid w:val="0077169A"/>
    <w:rsid w:val="00773116"/>
    <w:rsid w:val="007745AE"/>
    <w:rsid w:val="00775011"/>
    <w:rsid w:val="00776EDC"/>
    <w:rsid w:val="007773BA"/>
    <w:rsid w:val="00781D5A"/>
    <w:rsid w:val="007848BC"/>
    <w:rsid w:val="00786843"/>
    <w:rsid w:val="00792464"/>
    <w:rsid w:val="0079347E"/>
    <w:rsid w:val="00794527"/>
    <w:rsid w:val="00794F38"/>
    <w:rsid w:val="007965E2"/>
    <w:rsid w:val="00796776"/>
    <w:rsid w:val="007A35B7"/>
    <w:rsid w:val="007A56B7"/>
    <w:rsid w:val="007B19E3"/>
    <w:rsid w:val="007B4463"/>
    <w:rsid w:val="007C09D4"/>
    <w:rsid w:val="007C4CE8"/>
    <w:rsid w:val="007D16A9"/>
    <w:rsid w:val="007D2B2C"/>
    <w:rsid w:val="007D4E0E"/>
    <w:rsid w:val="007E1304"/>
    <w:rsid w:val="007E2897"/>
    <w:rsid w:val="007E2DB0"/>
    <w:rsid w:val="007E3C88"/>
    <w:rsid w:val="007F7248"/>
    <w:rsid w:val="00800FAC"/>
    <w:rsid w:val="00807811"/>
    <w:rsid w:val="0081018E"/>
    <w:rsid w:val="00810226"/>
    <w:rsid w:val="0081226D"/>
    <w:rsid w:val="0081294F"/>
    <w:rsid w:val="008143CC"/>
    <w:rsid w:val="00825AFC"/>
    <w:rsid w:val="0083214B"/>
    <w:rsid w:val="00832885"/>
    <w:rsid w:val="00834216"/>
    <w:rsid w:val="008363C3"/>
    <w:rsid w:val="00841623"/>
    <w:rsid w:val="00844F1F"/>
    <w:rsid w:val="00845FC2"/>
    <w:rsid w:val="008505B3"/>
    <w:rsid w:val="00850ECB"/>
    <w:rsid w:val="0085394D"/>
    <w:rsid w:val="00856F48"/>
    <w:rsid w:val="008608AE"/>
    <w:rsid w:val="0086736A"/>
    <w:rsid w:val="00871ABB"/>
    <w:rsid w:val="00872A31"/>
    <w:rsid w:val="00872A41"/>
    <w:rsid w:val="008758B1"/>
    <w:rsid w:val="00875D07"/>
    <w:rsid w:val="00880974"/>
    <w:rsid w:val="00880D97"/>
    <w:rsid w:val="00882EB6"/>
    <w:rsid w:val="008840F6"/>
    <w:rsid w:val="00887055"/>
    <w:rsid w:val="00893512"/>
    <w:rsid w:val="00897746"/>
    <w:rsid w:val="008B2460"/>
    <w:rsid w:val="008B2E23"/>
    <w:rsid w:val="008B350E"/>
    <w:rsid w:val="008C76A3"/>
    <w:rsid w:val="008C7E9B"/>
    <w:rsid w:val="008D1982"/>
    <w:rsid w:val="008D4086"/>
    <w:rsid w:val="008D51FC"/>
    <w:rsid w:val="008D5262"/>
    <w:rsid w:val="008D52A4"/>
    <w:rsid w:val="008D615A"/>
    <w:rsid w:val="008E0BBC"/>
    <w:rsid w:val="008E4D62"/>
    <w:rsid w:val="008E70CB"/>
    <w:rsid w:val="008F104B"/>
    <w:rsid w:val="008F18E3"/>
    <w:rsid w:val="008F1961"/>
    <w:rsid w:val="008F213A"/>
    <w:rsid w:val="008F3FF4"/>
    <w:rsid w:val="008F4716"/>
    <w:rsid w:val="008F59C1"/>
    <w:rsid w:val="008F7024"/>
    <w:rsid w:val="009028B8"/>
    <w:rsid w:val="0090346E"/>
    <w:rsid w:val="009039C2"/>
    <w:rsid w:val="00905EE7"/>
    <w:rsid w:val="00906DB5"/>
    <w:rsid w:val="00925A22"/>
    <w:rsid w:val="0092697E"/>
    <w:rsid w:val="00926C89"/>
    <w:rsid w:val="00935FFA"/>
    <w:rsid w:val="00936276"/>
    <w:rsid w:val="00937E58"/>
    <w:rsid w:val="00941D12"/>
    <w:rsid w:val="00944C56"/>
    <w:rsid w:val="009524AC"/>
    <w:rsid w:val="00953D23"/>
    <w:rsid w:val="00956258"/>
    <w:rsid w:val="0096549B"/>
    <w:rsid w:val="00981FB5"/>
    <w:rsid w:val="00984ED4"/>
    <w:rsid w:val="00985C06"/>
    <w:rsid w:val="00986287"/>
    <w:rsid w:val="009875B7"/>
    <w:rsid w:val="00993016"/>
    <w:rsid w:val="00994F19"/>
    <w:rsid w:val="009A7954"/>
    <w:rsid w:val="009C1BF2"/>
    <w:rsid w:val="009C28D3"/>
    <w:rsid w:val="009C3494"/>
    <w:rsid w:val="009C3B4E"/>
    <w:rsid w:val="009C460D"/>
    <w:rsid w:val="009C55FF"/>
    <w:rsid w:val="009C56E2"/>
    <w:rsid w:val="009C66D6"/>
    <w:rsid w:val="009D588A"/>
    <w:rsid w:val="009E6DE8"/>
    <w:rsid w:val="009F1CA9"/>
    <w:rsid w:val="009F2353"/>
    <w:rsid w:val="009F65C2"/>
    <w:rsid w:val="00A01D54"/>
    <w:rsid w:val="00A02056"/>
    <w:rsid w:val="00A04FEC"/>
    <w:rsid w:val="00A10078"/>
    <w:rsid w:val="00A11A71"/>
    <w:rsid w:val="00A12081"/>
    <w:rsid w:val="00A27790"/>
    <w:rsid w:val="00A3032D"/>
    <w:rsid w:val="00A3060D"/>
    <w:rsid w:val="00A33079"/>
    <w:rsid w:val="00A33EA0"/>
    <w:rsid w:val="00A34818"/>
    <w:rsid w:val="00A368F4"/>
    <w:rsid w:val="00A37C41"/>
    <w:rsid w:val="00A413AC"/>
    <w:rsid w:val="00A4238F"/>
    <w:rsid w:val="00A47291"/>
    <w:rsid w:val="00A47C8E"/>
    <w:rsid w:val="00A50EEA"/>
    <w:rsid w:val="00A53055"/>
    <w:rsid w:val="00A65F04"/>
    <w:rsid w:val="00A71A41"/>
    <w:rsid w:val="00A71A70"/>
    <w:rsid w:val="00A8074F"/>
    <w:rsid w:val="00A8256B"/>
    <w:rsid w:val="00A83820"/>
    <w:rsid w:val="00A85FBF"/>
    <w:rsid w:val="00A90523"/>
    <w:rsid w:val="00A9164B"/>
    <w:rsid w:val="00A94482"/>
    <w:rsid w:val="00AA08DE"/>
    <w:rsid w:val="00AA13F0"/>
    <w:rsid w:val="00AA3552"/>
    <w:rsid w:val="00AA5830"/>
    <w:rsid w:val="00AA6134"/>
    <w:rsid w:val="00AA7894"/>
    <w:rsid w:val="00AB1888"/>
    <w:rsid w:val="00AB1EE6"/>
    <w:rsid w:val="00AB4451"/>
    <w:rsid w:val="00AB6CAB"/>
    <w:rsid w:val="00AC3DF9"/>
    <w:rsid w:val="00AC69E9"/>
    <w:rsid w:val="00AD2824"/>
    <w:rsid w:val="00AD290E"/>
    <w:rsid w:val="00AD44CF"/>
    <w:rsid w:val="00AD67D9"/>
    <w:rsid w:val="00AE404F"/>
    <w:rsid w:val="00AE4075"/>
    <w:rsid w:val="00AE7C42"/>
    <w:rsid w:val="00AF0033"/>
    <w:rsid w:val="00B030BE"/>
    <w:rsid w:val="00B14DEC"/>
    <w:rsid w:val="00B24019"/>
    <w:rsid w:val="00B24F3B"/>
    <w:rsid w:val="00B32408"/>
    <w:rsid w:val="00B33E19"/>
    <w:rsid w:val="00B41D85"/>
    <w:rsid w:val="00B4617B"/>
    <w:rsid w:val="00B515E6"/>
    <w:rsid w:val="00B52D47"/>
    <w:rsid w:val="00B549D5"/>
    <w:rsid w:val="00B558E5"/>
    <w:rsid w:val="00B57981"/>
    <w:rsid w:val="00B60806"/>
    <w:rsid w:val="00B611F9"/>
    <w:rsid w:val="00B63ECE"/>
    <w:rsid w:val="00B63F66"/>
    <w:rsid w:val="00B65B83"/>
    <w:rsid w:val="00B737CE"/>
    <w:rsid w:val="00B7523D"/>
    <w:rsid w:val="00B81DBF"/>
    <w:rsid w:val="00B82652"/>
    <w:rsid w:val="00B85933"/>
    <w:rsid w:val="00B872D5"/>
    <w:rsid w:val="00B878B9"/>
    <w:rsid w:val="00B9411B"/>
    <w:rsid w:val="00B94541"/>
    <w:rsid w:val="00B956CB"/>
    <w:rsid w:val="00BA690B"/>
    <w:rsid w:val="00BB1969"/>
    <w:rsid w:val="00BB3684"/>
    <w:rsid w:val="00BB6DF6"/>
    <w:rsid w:val="00BB7353"/>
    <w:rsid w:val="00BC0312"/>
    <w:rsid w:val="00BC1EC4"/>
    <w:rsid w:val="00BC314E"/>
    <w:rsid w:val="00BC3DFA"/>
    <w:rsid w:val="00BD2EBB"/>
    <w:rsid w:val="00BE223A"/>
    <w:rsid w:val="00BE34B7"/>
    <w:rsid w:val="00BF1D5A"/>
    <w:rsid w:val="00BF2BC8"/>
    <w:rsid w:val="00BF4964"/>
    <w:rsid w:val="00BF5087"/>
    <w:rsid w:val="00C073FF"/>
    <w:rsid w:val="00C1429F"/>
    <w:rsid w:val="00C1721C"/>
    <w:rsid w:val="00C1789F"/>
    <w:rsid w:val="00C278ED"/>
    <w:rsid w:val="00C32678"/>
    <w:rsid w:val="00C37661"/>
    <w:rsid w:val="00C410FA"/>
    <w:rsid w:val="00C625F4"/>
    <w:rsid w:val="00C62A21"/>
    <w:rsid w:val="00C6309B"/>
    <w:rsid w:val="00C631D6"/>
    <w:rsid w:val="00C65009"/>
    <w:rsid w:val="00C67737"/>
    <w:rsid w:val="00C80B04"/>
    <w:rsid w:val="00C810FF"/>
    <w:rsid w:val="00C826CA"/>
    <w:rsid w:val="00C846A4"/>
    <w:rsid w:val="00C85992"/>
    <w:rsid w:val="00C91961"/>
    <w:rsid w:val="00C94B24"/>
    <w:rsid w:val="00C96421"/>
    <w:rsid w:val="00CA295E"/>
    <w:rsid w:val="00CA76AB"/>
    <w:rsid w:val="00CB47E9"/>
    <w:rsid w:val="00CB4FD4"/>
    <w:rsid w:val="00CB515E"/>
    <w:rsid w:val="00CC7410"/>
    <w:rsid w:val="00CD1A31"/>
    <w:rsid w:val="00CD368C"/>
    <w:rsid w:val="00CE101C"/>
    <w:rsid w:val="00CE1696"/>
    <w:rsid w:val="00CE25A6"/>
    <w:rsid w:val="00CE3BCC"/>
    <w:rsid w:val="00CF5334"/>
    <w:rsid w:val="00CF74E1"/>
    <w:rsid w:val="00CF75D6"/>
    <w:rsid w:val="00CF7623"/>
    <w:rsid w:val="00D016B2"/>
    <w:rsid w:val="00D03F13"/>
    <w:rsid w:val="00D05511"/>
    <w:rsid w:val="00D22103"/>
    <w:rsid w:val="00D236FC"/>
    <w:rsid w:val="00D266C6"/>
    <w:rsid w:val="00D31033"/>
    <w:rsid w:val="00D317B7"/>
    <w:rsid w:val="00D35EDD"/>
    <w:rsid w:val="00D47E53"/>
    <w:rsid w:val="00D54FA6"/>
    <w:rsid w:val="00D608B8"/>
    <w:rsid w:val="00D62313"/>
    <w:rsid w:val="00D677C6"/>
    <w:rsid w:val="00D7410F"/>
    <w:rsid w:val="00D759DB"/>
    <w:rsid w:val="00D75EEF"/>
    <w:rsid w:val="00D80EC8"/>
    <w:rsid w:val="00D843F9"/>
    <w:rsid w:val="00D860B4"/>
    <w:rsid w:val="00D90B86"/>
    <w:rsid w:val="00D90E93"/>
    <w:rsid w:val="00D93218"/>
    <w:rsid w:val="00D94B1F"/>
    <w:rsid w:val="00D97A30"/>
    <w:rsid w:val="00DB0554"/>
    <w:rsid w:val="00DB2F88"/>
    <w:rsid w:val="00DB385C"/>
    <w:rsid w:val="00DB6A14"/>
    <w:rsid w:val="00DB6CCA"/>
    <w:rsid w:val="00DB711C"/>
    <w:rsid w:val="00DC0A1C"/>
    <w:rsid w:val="00DC0B8E"/>
    <w:rsid w:val="00DC42A7"/>
    <w:rsid w:val="00DC4511"/>
    <w:rsid w:val="00DC534A"/>
    <w:rsid w:val="00DC62EB"/>
    <w:rsid w:val="00DD04C6"/>
    <w:rsid w:val="00DD30FF"/>
    <w:rsid w:val="00DD3F4B"/>
    <w:rsid w:val="00DD64C3"/>
    <w:rsid w:val="00DE025B"/>
    <w:rsid w:val="00DE0FF8"/>
    <w:rsid w:val="00DE20C5"/>
    <w:rsid w:val="00DF2495"/>
    <w:rsid w:val="00DF7FE9"/>
    <w:rsid w:val="00E0701E"/>
    <w:rsid w:val="00E10BB5"/>
    <w:rsid w:val="00E170DB"/>
    <w:rsid w:val="00E219D6"/>
    <w:rsid w:val="00E23527"/>
    <w:rsid w:val="00E24E55"/>
    <w:rsid w:val="00E43224"/>
    <w:rsid w:val="00E46036"/>
    <w:rsid w:val="00E551FA"/>
    <w:rsid w:val="00E5600A"/>
    <w:rsid w:val="00E62D19"/>
    <w:rsid w:val="00E6518F"/>
    <w:rsid w:val="00E66E3D"/>
    <w:rsid w:val="00E719F5"/>
    <w:rsid w:val="00E7463B"/>
    <w:rsid w:val="00E81B67"/>
    <w:rsid w:val="00E83888"/>
    <w:rsid w:val="00E8684A"/>
    <w:rsid w:val="00E9692D"/>
    <w:rsid w:val="00E97299"/>
    <w:rsid w:val="00EA145B"/>
    <w:rsid w:val="00EA45DC"/>
    <w:rsid w:val="00EA52EB"/>
    <w:rsid w:val="00EA5504"/>
    <w:rsid w:val="00EB25FF"/>
    <w:rsid w:val="00EB639A"/>
    <w:rsid w:val="00EC1093"/>
    <w:rsid w:val="00ED2692"/>
    <w:rsid w:val="00ED5F35"/>
    <w:rsid w:val="00ED613A"/>
    <w:rsid w:val="00ED700A"/>
    <w:rsid w:val="00EE0AC7"/>
    <w:rsid w:val="00EE235B"/>
    <w:rsid w:val="00EE4FFC"/>
    <w:rsid w:val="00EE7D88"/>
    <w:rsid w:val="00EF4B26"/>
    <w:rsid w:val="00F0444C"/>
    <w:rsid w:val="00F05CD5"/>
    <w:rsid w:val="00F06E1F"/>
    <w:rsid w:val="00F26164"/>
    <w:rsid w:val="00F327A3"/>
    <w:rsid w:val="00F35973"/>
    <w:rsid w:val="00F36CEC"/>
    <w:rsid w:val="00F4274C"/>
    <w:rsid w:val="00F43B3B"/>
    <w:rsid w:val="00F4672C"/>
    <w:rsid w:val="00F52D8F"/>
    <w:rsid w:val="00F5506A"/>
    <w:rsid w:val="00F60B79"/>
    <w:rsid w:val="00F62282"/>
    <w:rsid w:val="00F66415"/>
    <w:rsid w:val="00F67418"/>
    <w:rsid w:val="00F720F0"/>
    <w:rsid w:val="00F748D9"/>
    <w:rsid w:val="00F8242A"/>
    <w:rsid w:val="00F90BD7"/>
    <w:rsid w:val="00F95B02"/>
    <w:rsid w:val="00FB2909"/>
    <w:rsid w:val="00FB2B31"/>
    <w:rsid w:val="00FB3C59"/>
    <w:rsid w:val="00FB67C3"/>
    <w:rsid w:val="00FC0742"/>
    <w:rsid w:val="00FC348F"/>
    <w:rsid w:val="00FC3F16"/>
    <w:rsid w:val="00FD00D3"/>
    <w:rsid w:val="00FD1278"/>
    <w:rsid w:val="00FD3912"/>
    <w:rsid w:val="00FE1343"/>
    <w:rsid w:val="00FE187B"/>
    <w:rsid w:val="00FE1A7E"/>
    <w:rsid w:val="00FE2A36"/>
    <w:rsid w:val="00FE6928"/>
    <w:rsid w:val="00FE7F5A"/>
    <w:rsid w:val="00FF049B"/>
    <w:rsid w:val="00FF0FA5"/>
    <w:rsid w:val="00FF22D1"/>
    <w:rsid w:val="00FF7019"/>
    <w:rsid w:val="016968D8"/>
    <w:rsid w:val="01957676"/>
    <w:rsid w:val="01B00655"/>
    <w:rsid w:val="01E563D4"/>
    <w:rsid w:val="028D7F03"/>
    <w:rsid w:val="035241C7"/>
    <w:rsid w:val="04D53301"/>
    <w:rsid w:val="05DD06BF"/>
    <w:rsid w:val="06763D5D"/>
    <w:rsid w:val="071E6165"/>
    <w:rsid w:val="07B05BDB"/>
    <w:rsid w:val="08CF1E16"/>
    <w:rsid w:val="090708A4"/>
    <w:rsid w:val="09524F20"/>
    <w:rsid w:val="09544682"/>
    <w:rsid w:val="0A7E32B7"/>
    <w:rsid w:val="0AC56A21"/>
    <w:rsid w:val="0B9D63F6"/>
    <w:rsid w:val="0BAA3C2D"/>
    <w:rsid w:val="0C063DA0"/>
    <w:rsid w:val="0C3F7241"/>
    <w:rsid w:val="0CBE58C2"/>
    <w:rsid w:val="0CD13249"/>
    <w:rsid w:val="0CF83FBB"/>
    <w:rsid w:val="0D6A53EF"/>
    <w:rsid w:val="0DC03CBF"/>
    <w:rsid w:val="0DC944D2"/>
    <w:rsid w:val="0E456E02"/>
    <w:rsid w:val="0E5D2EA2"/>
    <w:rsid w:val="0E906AA1"/>
    <w:rsid w:val="0F227143"/>
    <w:rsid w:val="0F2B4F09"/>
    <w:rsid w:val="0FF322E2"/>
    <w:rsid w:val="10811EC3"/>
    <w:rsid w:val="10F553AF"/>
    <w:rsid w:val="11567A9C"/>
    <w:rsid w:val="11DA1F57"/>
    <w:rsid w:val="12E3308D"/>
    <w:rsid w:val="12FB5788"/>
    <w:rsid w:val="13580061"/>
    <w:rsid w:val="13C901A4"/>
    <w:rsid w:val="1496080F"/>
    <w:rsid w:val="14B93626"/>
    <w:rsid w:val="14C76F80"/>
    <w:rsid w:val="14E6501B"/>
    <w:rsid w:val="14F66547"/>
    <w:rsid w:val="15572BA9"/>
    <w:rsid w:val="15744470"/>
    <w:rsid w:val="15AF53D6"/>
    <w:rsid w:val="16A35FFC"/>
    <w:rsid w:val="16AC4287"/>
    <w:rsid w:val="16C42BD6"/>
    <w:rsid w:val="16CD431B"/>
    <w:rsid w:val="17424826"/>
    <w:rsid w:val="175400B6"/>
    <w:rsid w:val="17FD24FB"/>
    <w:rsid w:val="18864849"/>
    <w:rsid w:val="19052DB4"/>
    <w:rsid w:val="19AA0461"/>
    <w:rsid w:val="1A0F2F69"/>
    <w:rsid w:val="1AAB787A"/>
    <w:rsid w:val="1AB60038"/>
    <w:rsid w:val="1B7F0851"/>
    <w:rsid w:val="1B917B2A"/>
    <w:rsid w:val="1B953BE2"/>
    <w:rsid w:val="1BD040FD"/>
    <w:rsid w:val="1BED572C"/>
    <w:rsid w:val="1CE94813"/>
    <w:rsid w:val="1DA01267"/>
    <w:rsid w:val="1DEA4987"/>
    <w:rsid w:val="1DFB4A1D"/>
    <w:rsid w:val="1E0D5462"/>
    <w:rsid w:val="1E273EAF"/>
    <w:rsid w:val="1EED29E7"/>
    <w:rsid w:val="1F00448B"/>
    <w:rsid w:val="1F1B03F8"/>
    <w:rsid w:val="1F3F2891"/>
    <w:rsid w:val="1F851A26"/>
    <w:rsid w:val="1F973D29"/>
    <w:rsid w:val="204038CD"/>
    <w:rsid w:val="20E57FD0"/>
    <w:rsid w:val="214C11B0"/>
    <w:rsid w:val="21570ECE"/>
    <w:rsid w:val="21A5009A"/>
    <w:rsid w:val="21E21B42"/>
    <w:rsid w:val="231C4665"/>
    <w:rsid w:val="235F0999"/>
    <w:rsid w:val="23E138B2"/>
    <w:rsid w:val="24615BD9"/>
    <w:rsid w:val="24715D31"/>
    <w:rsid w:val="247C0C4C"/>
    <w:rsid w:val="258129BE"/>
    <w:rsid w:val="25827BEC"/>
    <w:rsid w:val="262A4E03"/>
    <w:rsid w:val="26C6486C"/>
    <w:rsid w:val="27DD6A7A"/>
    <w:rsid w:val="28BE6A71"/>
    <w:rsid w:val="293677ED"/>
    <w:rsid w:val="29613A86"/>
    <w:rsid w:val="2A750617"/>
    <w:rsid w:val="2A97233B"/>
    <w:rsid w:val="2BBB08D4"/>
    <w:rsid w:val="2BEF1384"/>
    <w:rsid w:val="2C753077"/>
    <w:rsid w:val="2C843083"/>
    <w:rsid w:val="2C966C95"/>
    <w:rsid w:val="2C9D4630"/>
    <w:rsid w:val="2D434A41"/>
    <w:rsid w:val="2E253775"/>
    <w:rsid w:val="2E642DAB"/>
    <w:rsid w:val="2E76495E"/>
    <w:rsid w:val="2F50265F"/>
    <w:rsid w:val="2F594063"/>
    <w:rsid w:val="2F936E48"/>
    <w:rsid w:val="2FDE0A0C"/>
    <w:rsid w:val="304C3A90"/>
    <w:rsid w:val="3163593E"/>
    <w:rsid w:val="31717716"/>
    <w:rsid w:val="31B672C5"/>
    <w:rsid w:val="31E05E51"/>
    <w:rsid w:val="327472A0"/>
    <w:rsid w:val="32782798"/>
    <w:rsid w:val="33177906"/>
    <w:rsid w:val="335D77F5"/>
    <w:rsid w:val="338B3010"/>
    <w:rsid w:val="338D077F"/>
    <w:rsid w:val="33CD5F23"/>
    <w:rsid w:val="33D90F6D"/>
    <w:rsid w:val="33E024E6"/>
    <w:rsid w:val="3421711A"/>
    <w:rsid w:val="348576A9"/>
    <w:rsid w:val="37221543"/>
    <w:rsid w:val="373B580F"/>
    <w:rsid w:val="37923ADC"/>
    <w:rsid w:val="37F35FE3"/>
    <w:rsid w:val="385E093C"/>
    <w:rsid w:val="38637D01"/>
    <w:rsid w:val="38A74091"/>
    <w:rsid w:val="39366835"/>
    <w:rsid w:val="39486C4B"/>
    <w:rsid w:val="3A00388D"/>
    <w:rsid w:val="3A262E59"/>
    <w:rsid w:val="3A6D736E"/>
    <w:rsid w:val="3AB67344"/>
    <w:rsid w:val="3B4F0A10"/>
    <w:rsid w:val="3BC907C3"/>
    <w:rsid w:val="3BE9676F"/>
    <w:rsid w:val="3C3A297C"/>
    <w:rsid w:val="3C4F6F1A"/>
    <w:rsid w:val="3CF91973"/>
    <w:rsid w:val="3D023F8C"/>
    <w:rsid w:val="3D177AC0"/>
    <w:rsid w:val="3D184368"/>
    <w:rsid w:val="3E95498C"/>
    <w:rsid w:val="3F6A2774"/>
    <w:rsid w:val="3FC01862"/>
    <w:rsid w:val="3FFD0999"/>
    <w:rsid w:val="40044768"/>
    <w:rsid w:val="40062526"/>
    <w:rsid w:val="40722652"/>
    <w:rsid w:val="40927476"/>
    <w:rsid w:val="412C5A7C"/>
    <w:rsid w:val="41E974C9"/>
    <w:rsid w:val="430C4CED"/>
    <w:rsid w:val="437A7DF8"/>
    <w:rsid w:val="43E4083A"/>
    <w:rsid w:val="44351EEA"/>
    <w:rsid w:val="4538449A"/>
    <w:rsid w:val="45881379"/>
    <w:rsid w:val="45C97F70"/>
    <w:rsid w:val="46647443"/>
    <w:rsid w:val="46A6544B"/>
    <w:rsid w:val="46B976AC"/>
    <w:rsid w:val="46F7608A"/>
    <w:rsid w:val="47677FF7"/>
    <w:rsid w:val="47B20B4F"/>
    <w:rsid w:val="47C841F6"/>
    <w:rsid w:val="48802209"/>
    <w:rsid w:val="489E759D"/>
    <w:rsid w:val="490A6919"/>
    <w:rsid w:val="49535B70"/>
    <w:rsid w:val="49B139F9"/>
    <w:rsid w:val="4AE83552"/>
    <w:rsid w:val="4CC33687"/>
    <w:rsid w:val="4D381304"/>
    <w:rsid w:val="4D3A0897"/>
    <w:rsid w:val="4D6270B4"/>
    <w:rsid w:val="4EE334F2"/>
    <w:rsid w:val="4FD47289"/>
    <w:rsid w:val="501716A5"/>
    <w:rsid w:val="519A0C31"/>
    <w:rsid w:val="528653B7"/>
    <w:rsid w:val="530D4FE1"/>
    <w:rsid w:val="538577A4"/>
    <w:rsid w:val="53B521F4"/>
    <w:rsid w:val="53FD76F9"/>
    <w:rsid w:val="541C1D2E"/>
    <w:rsid w:val="54F601F4"/>
    <w:rsid w:val="5533743C"/>
    <w:rsid w:val="55451A42"/>
    <w:rsid w:val="55BA4E80"/>
    <w:rsid w:val="55BC5FA9"/>
    <w:rsid w:val="55BF7F5D"/>
    <w:rsid w:val="56251409"/>
    <w:rsid w:val="56E5477B"/>
    <w:rsid w:val="57E94FED"/>
    <w:rsid w:val="58FB5131"/>
    <w:rsid w:val="595C6022"/>
    <w:rsid w:val="5A7E480F"/>
    <w:rsid w:val="5ACF1A53"/>
    <w:rsid w:val="5B4915FA"/>
    <w:rsid w:val="5C6043D4"/>
    <w:rsid w:val="5CBE5258"/>
    <w:rsid w:val="5DE56D43"/>
    <w:rsid w:val="5E93283E"/>
    <w:rsid w:val="5FC627A0"/>
    <w:rsid w:val="60080139"/>
    <w:rsid w:val="602B659A"/>
    <w:rsid w:val="603008EB"/>
    <w:rsid w:val="61094C36"/>
    <w:rsid w:val="614B5963"/>
    <w:rsid w:val="615E7CC1"/>
    <w:rsid w:val="61F3581D"/>
    <w:rsid w:val="62002E71"/>
    <w:rsid w:val="622A3A9E"/>
    <w:rsid w:val="62BD35BC"/>
    <w:rsid w:val="62CD6F5B"/>
    <w:rsid w:val="6341722E"/>
    <w:rsid w:val="637D4084"/>
    <w:rsid w:val="63F55D49"/>
    <w:rsid w:val="6463351A"/>
    <w:rsid w:val="646943FB"/>
    <w:rsid w:val="646A616D"/>
    <w:rsid w:val="65600B12"/>
    <w:rsid w:val="65C14135"/>
    <w:rsid w:val="65F40A81"/>
    <w:rsid w:val="665351B4"/>
    <w:rsid w:val="673B7F17"/>
    <w:rsid w:val="674736FC"/>
    <w:rsid w:val="675F5B11"/>
    <w:rsid w:val="68115FCD"/>
    <w:rsid w:val="6845417E"/>
    <w:rsid w:val="684A6E73"/>
    <w:rsid w:val="68B735CD"/>
    <w:rsid w:val="6A2D03E0"/>
    <w:rsid w:val="6A687377"/>
    <w:rsid w:val="6B4D5F3E"/>
    <w:rsid w:val="6BF87646"/>
    <w:rsid w:val="6C484C7B"/>
    <w:rsid w:val="6C5D26DE"/>
    <w:rsid w:val="6C99728A"/>
    <w:rsid w:val="6CF07994"/>
    <w:rsid w:val="6D323EFF"/>
    <w:rsid w:val="6D943EDD"/>
    <w:rsid w:val="6DBD2C18"/>
    <w:rsid w:val="6E066998"/>
    <w:rsid w:val="6E7C509D"/>
    <w:rsid w:val="6EF07839"/>
    <w:rsid w:val="6F0A4AFF"/>
    <w:rsid w:val="6F675D4D"/>
    <w:rsid w:val="6F96297F"/>
    <w:rsid w:val="6FBD0CD4"/>
    <w:rsid w:val="6FCA0350"/>
    <w:rsid w:val="6FE67F79"/>
    <w:rsid w:val="711D243B"/>
    <w:rsid w:val="71357785"/>
    <w:rsid w:val="719B7F30"/>
    <w:rsid w:val="72D61F86"/>
    <w:rsid w:val="732F3B04"/>
    <w:rsid w:val="733043F7"/>
    <w:rsid w:val="73966C01"/>
    <w:rsid w:val="743C4B26"/>
    <w:rsid w:val="74977480"/>
    <w:rsid w:val="74B302CF"/>
    <w:rsid w:val="74F62653"/>
    <w:rsid w:val="74F92B1D"/>
    <w:rsid w:val="74FA7972"/>
    <w:rsid w:val="75284191"/>
    <w:rsid w:val="75497CA3"/>
    <w:rsid w:val="75506B85"/>
    <w:rsid w:val="75EA1FD2"/>
    <w:rsid w:val="76B84F83"/>
    <w:rsid w:val="774830A1"/>
    <w:rsid w:val="77C61DC1"/>
    <w:rsid w:val="77D14541"/>
    <w:rsid w:val="78662D91"/>
    <w:rsid w:val="79254583"/>
    <w:rsid w:val="79435261"/>
    <w:rsid w:val="79731EE3"/>
    <w:rsid w:val="79A64CD3"/>
    <w:rsid w:val="7A5C2227"/>
    <w:rsid w:val="7AA95E93"/>
    <w:rsid w:val="7AC61CC8"/>
    <w:rsid w:val="7B4A4B5F"/>
    <w:rsid w:val="7BEF161B"/>
    <w:rsid w:val="7C1C1C6D"/>
    <w:rsid w:val="7CE6396D"/>
    <w:rsid w:val="7CEC7892"/>
    <w:rsid w:val="7D3B5470"/>
    <w:rsid w:val="7E3A63DB"/>
    <w:rsid w:val="7EA23401"/>
    <w:rsid w:val="7F7D4C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9"/>
    <w:pPr>
      <w:keepNext/>
      <w:keepLines/>
      <w:spacing w:before="260" w:after="260" w:line="416" w:lineRule="auto"/>
      <w:outlineLvl w:val="2"/>
    </w:pPr>
    <w:rPr>
      <w:b/>
      <w:bCs/>
      <w:sz w:val="32"/>
      <w:szCs w:val="32"/>
    </w:rPr>
  </w:style>
  <w:style w:type="paragraph" w:styleId="6">
    <w:name w:val="heading 4"/>
    <w:basedOn w:val="7"/>
    <w:next w:val="7"/>
    <w:link w:val="47"/>
    <w:qFormat/>
    <w:uiPriority w:val="0"/>
    <w:pPr>
      <w:keepNext/>
      <w:keepLines/>
      <w:spacing w:before="280" w:after="290" w:line="376" w:lineRule="auto"/>
      <w:outlineLvl w:val="3"/>
    </w:pPr>
    <w:rPr>
      <w:rFonts w:ascii="Cambria" w:hAnsi="Cambria"/>
      <w:b/>
      <w:bCs/>
      <w:sz w:val="28"/>
      <w:szCs w:val="28"/>
    </w:rPr>
  </w:style>
  <w:style w:type="character" w:default="1" w:styleId="37">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8"/>
    <w:qFormat/>
    <w:uiPriority w:val="99"/>
    <w:pPr>
      <w:spacing w:after="120"/>
    </w:pPr>
  </w:style>
  <w:style w:type="paragraph" w:styleId="7">
    <w:name w:val="Normal Indent"/>
    <w:basedOn w:val="1"/>
    <w:link w:val="49"/>
    <w:qFormat/>
    <w:uiPriority w:val="0"/>
    <w:pPr>
      <w:spacing w:line="360" w:lineRule="auto"/>
    </w:pPr>
  </w:style>
  <w:style w:type="paragraph" w:styleId="8">
    <w:name w:val="toc 7"/>
    <w:basedOn w:val="1"/>
    <w:next w:val="1"/>
    <w:qFormat/>
    <w:uiPriority w:val="39"/>
    <w:pPr>
      <w:ind w:left="1260"/>
      <w:jc w:val="left"/>
    </w:pPr>
    <w:rPr>
      <w:rFonts w:ascii="Calibri" w:hAnsi="Calibri"/>
      <w:sz w:val="18"/>
      <w:szCs w:val="18"/>
    </w:rPr>
  </w:style>
  <w:style w:type="paragraph" w:styleId="9">
    <w:name w:val="Document Map"/>
    <w:basedOn w:val="1"/>
    <w:link w:val="50"/>
    <w:qFormat/>
    <w:uiPriority w:val="0"/>
    <w:pPr>
      <w:shd w:val="clear" w:color="auto" w:fill="000080"/>
    </w:pPr>
  </w:style>
  <w:style w:type="paragraph" w:styleId="10">
    <w:name w:val="annotation text"/>
    <w:basedOn w:val="1"/>
    <w:link w:val="51"/>
    <w:unhideWhenUsed/>
    <w:qFormat/>
    <w:uiPriority w:val="0"/>
    <w:pPr>
      <w:jc w:val="left"/>
    </w:pPr>
  </w:style>
  <w:style w:type="paragraph" w:styleId="11">
    <w:name w:val="Body Text Indent"/>
    <w:basedOn w:val="1"/>
    <w:link w:val="52"/>
    <w:qFormat/>
    <w:uiPriority w:val="0"/>
    <w:pPr>
      <w:spacing w:after="120"/>
      <w:ind w:left="420" w:leftChars="200"/>
    </w:pPr>
  </w:style>
  <w:style w:type="paragraph" w:styleId="12">
    <w:name w:val="toc 5"/>
    <w:basedOn w:val="1"/>
    <w:next w:val="1"/>
    <w:qFormat/>
    <w:uiPriority w:val="39"/>
    <w:pPr>
      <w:ind w:left="840"/>
      <w:jc w:val="left"/>
    </w:pPr>
    <w:rPr>
      <w:rFonts w:ascii="Calibri" w:hAnsi="Calibri"/>
      <w:sz w:val="18"/>
      <w:szCs w:val="18"/>
    </w:rPr>
  </w:style>
  <w:style w:type="paragraph" w:styleId="13">
    <w:name w:val="toc 3"/>
    <w:basedOn w:val="1"/>
    <w:next w:val="1"/>
    <w:qFormat/>
    <w:uiPriority w:val="39"/>
    <w:pPr>
      <w:ind w:left="420"/>
      <w:jc w:val="left"/>
    </w:pPr>
    <w:rPr>
      <w:rFonts w:ascii="Calibri" w:hAnsi="Calibri"/>
      <w:i/>
      <w:iCs/>
      <w:sz w:val="20"/>
      <w:szCs w:val="20"/>
    </w:rPr>
  </w:style>
  <w:style w:type="paragraph" w:styleId="14">
    <w:name w:val="Plain Text"/>
    <w:basedOn w:val="1"/>
    <w:link w:val="53"/>
    <w:qFormat/>
    <w:uiPriority w:val="0"/>
    <w:rPr>
      <w:rFonts w:ascii="宋体" w:hAnsi="Courier New" w:cs="Courier New"/>
      <w:szCs w:val="21"/>
    </w:rPr>
  </w:style>
  <w:style w:type="paragraph" w:styleId="15">
    <w:name w:val="toc 8"/>
    <w:basedOn w:val="1"/>
    <w:next w:val="1"/>
    <w:qFormat/>
    <w:uiPriority w:val="39"/>
    <w:pPr>
      <w:ind w:left="1470"/>
      <w:jc w:val="left"/>
    </w:pPr>
    <w:rPr>
      <w:rFonts w:ascii="Calibri" w:hAnsi="Calibri"/>
      <w:sz w:val="18"/>
      <w:szCs w:val="18"/>
    </w:rPr>
  </w:style>
  <w:style w:type="paragraph" w:styleId="16">
    <w:name w:val="Date"/>
    <w:basedOn w:val="1"/>
    <w:next w:val="1"/>
    <w:link w:val="54"/>
    <w:semiHidden/>
    <w:unhideWhenUsed/>
    <w:qFormat/>
    <w:uiPriority w:val="99"/>
    <w:pPr>
      <w:ind w:left="100" w:leftChars="2500"/>
    </w:pPr>
  </w:style>
  <w:style w:type="paragraph" w:styleId="17">
    <w:name w:val="Body Text Indent 2"/>
    <w:basedOn w:val="1"/>
    <w:link w:val="55"/>
    <w:qFormat/>
    <w:uiPriority w:val="0"/>
    <w:pPr>
      <w:spacing w:after="120" w:line="480" w:lineRule="auto"/>
      <w:ind w:left="420" w:leftChars="200"/>
    </w:pPr>
  </w:style>
  <w:style w:type="paragraph" w:styleId="18">
    <w:name w:val="Balloon Text"/>
    <w:basedOn w:val="1"/>
    <w:link w:val="56"/>
    <w:semiHidden/>
    <w:qFormat/>
    <w:uiPriority w:val="0"/>
    <w:rPr>
      <w:sz w:val="18"/>
      <w:szCs w:val="18"/>
    </w:rPr>
  </w:style>
  <w:style w:type="paragraph" w:styleId="19">
    <w:name w:val="footer"/>
    <w:basedOn w:val="1"/>
    <w:link w:val="43"/>
    <w:unhideWhenUsed/>
    <w:qFormat/>
    <w:uiPriority w:val="99"/>
    <w:pPr>
      <w:tabs>
        <w:tab w:val="center" w:pos="4153"/>
        <w:tab w:val="right" w:pos="8306"/>
      </w:tabs>
      <w:snapToGrid w:val="0"/>
      <w:jc w:val="left"/>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line="440" w:lineRule="exact"/>
      <w:jc w:val="left"/>
    </w:pPr>
    <w:rPr>
      <w:rFonts w:ascii="Calibri" w:hAnsi="Calibri"/>
      <w:b/>
      <w:bCs/>
      <w:sz w:val="28"/>
      <w:szCs w:val="28"/>
    </w:rPr>
  </w:style>
  <w:style w:type="paragraph" w:styleId="22">
    <w:name w:val="toc 4"/>
    <w:basedOn w:val="1"/>
    <w:next w:val="1"/>
    <w:qFormat/>
    <w:uiPriority w:val="39"/>
    <w:pPr>
      <w:ind w:left="630"/>
      <w:jc w:val="left"/>
    </w:pPr>
    <w:rPr>
      <w:rFonts w:ascii="Calibri" w:hAnsi="Calibri"/>
      <w:sz w:val="18"/>
      <w:szCs w:val="18"/>
    </w:rPr>
  </w:style>
  <w:style w:type="paragraph" w:styleId="23">
    <w:name w:val="List"/>
    <w:basedOn w:val="1"/>
    <w:unhideWhenUsed/>
    <w:qFormat/>
    <w:uiPriority w:val="0"/>
    <w:pPr>
      <w:widowControl/>
      <w:ind w:left="880" w:hanging="880" w:hangingChars="200"/>
      <w:jc w:val="left"/>
    </w:pPr>
    <w:rPr>
      <w:rFonts w:ascii="Calibri" w:hAnsi="Calibri"/>
      <w:kern w:val="0"/>
      <w:szCs w:val="20"/>
      <w:lang w:eastAsia="en-US" w:bidi="en-US"/>
    </w:rPr>
  </w:style>
  <w:style w:type="paragraph" w:styleId="24">
    <w:name w:val="toc 6"/>
    <w:basedOn w:val="1"/>
    <w:next w:val="1"/>
    <w:qFormat/>
    <w:uiPriority w:val="39"/>
    <w:pPr>
      <w:ind w:left="1050"/>
      <w:jc w:val="left"/>
    </w:pPr>
    <w:rPr>
      <w:rFonts w:ascii="Calibri" w:hAnsi="Calibri"/>
      <w:sz w:val="18"/>
      <w:szCs w:val="18"/>
    </w:rPr>
  </w:style>
  <w:style w:type="paragraph" w:styleId="25">
    <w:name w:val="Body Text Indent 3"/>
    <w:basedOn w:val="1"/>
    <w:link w:val="57"/>
    <w:qFormat/>
    <w:uiPriority w:val="0"/>
    <w:pPr>
      <w:spacing w:after="120"/>
      <w:ind w:left="420" w:leftChars="200"/>
    </w:pPr>
    <w:rPr>
      <w:sz w:val="16"/>
      <w:szCs w:val="16"/>
    </w:rPr>
  </w:style>
  <w:style w:type="paragraph" w:styleId="26">
    <w:name w:val="toc 2"/>
    <w:basedOn w:val="1"/>
    <w:next w:val="1"/>
    <w:qFormat/>
    <w:uiPriority w:val="39"/>
    <w:pPr>
      <w:spacing w:line="360" w:lineRule="exact"/>
      <w:ind w:firstLine="200" w:firstLineChars="200"/>
      <w:jc w:val="left"/>
    </w:pPr>
    <w:rPr>
      <w:rFonts w:ascii="Calibri" w:hAnsi="Calibri"/>
      <w:sz w:val="24"/>
    </w:rPr>
  </w:style>
  <w:style w:type="paragraph" w:styleId="27">
    <w:name w:val="toc 9"/>
    <w:basedOn w:val="1"/>
    <w:next w:val="1"/>
    <w:qFormat/>
    <w:uiPriority w:val="39"/>
    <w:pPr>
      <w:ind w:left="1680"/>
      <w:jc w:val="left"/>
    </w:pPr>
    <w:rPr>
      <w:rFonts w:ascii="Calibri" w:hAnsi="Calibri"/>
      <w:sz w:val="18"/>
      <w:szCs w:val="18"/>
    </w:rPr>
  </w:style>
  <w:style w:type="paragraph" w:styleId="28">
    <w:name w:val="Body Text 2"/>
    <w:basedOn w:val="1"/>
    <w:link w:val="58"/>
    <w:qFormat/>
    <w:uiPriority w:val="0"/>
    <w:pPr>
      <w:spacing w:line="0" w:lineRule="atLeast"/>
      <w:jc w:val="center"/>
    </w:pPr>
    <w:rPr>
      <w:rFonts w:eastAsia="仿宋_GB2312"/>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kern w:val="0"/>
      <w:sz w:val="24"/>
    </w:rPr>
  </w:style>
  <w:style w:type="paragraph" w:styleId="30">
    <w:name w:val="Title"/>
    <w:basedOn w:val="1"/>
    <w:next w:val="1"/>
    <w:link w:val="59"/>
    <w:qFormat/>
    <w:uiPriority w:val="10"/>
    <w:pPr>
      <w:widowControl/>
      <w:spacing w:before="240" w:after="60"/>
      <w:jc w:val="center"/>
      <w:outlineLvl w:val="0"/>
    </w:pPr>
    <w:rPr>
      <w:rFonts w:ascii="宋体" w:hAnsi="宋体" w:eastAsia="Times New Roman"/>
      <w:bCs/>
      <w:sz w:val="24"/>
      <w:szCs w:val="28"/>
    </w:rPr>
  </w:style>
  <w:style w:type="paragraph" w:styleId="31">
    <w:name w:val="annotation subject"/>
    <w:basedOn w:val="10"/>
    <w:next w:val="10"/>
    <w:link w:val="60"/>
    <w:semiHidden/>
    <w:unhideWhenUsed/>
    <w:qFormat/>
    <w:uiPriority w:val="99"/>
    <w:rPr>
      <w:b/>
      <w:bCs/>
    </w:rPr>
  </w:style>
  <w:style w:type="paragraph" w:styleId="32">
    <w:name w:val="Body Text First Indent"/>
    <w:basedOn w:val="2"/>
    <w:link w:val="61"/>
    <w:semiHidden/>
    <w:unhideWhenUsed/>
    <w:qFormat/>
    <w:uiPriority w:val="99"/>
    <w:pPr>
      <w:ind w:firstLine="420" w:firstLineChars="100"/>
    </w:pPr>
  </w:style>
  <w:style w:type="paragraph" w:styleId="33">
    <w:name w:val="Body Text First Indent 2"/>
    <w:basedOn w:val="11"/>
    <w:link w:val="62"/>
    <w:qFormat/>
    <w:uiPriority w:val="0"/>
    <w:pPr>
      <w:ind w:firstLine="420" w:firstLineChars="200"/>
    </w:p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6">
    <w:name w:val="Table Grid 6"/>
    <w:basedOn w:val="34"/>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38">
    <w:name w:val="page number"/>
    <w:basedOn w:val="37"/>
    <w:qFormat/>
    <w:uiPriority w:val="0"/>
    <w:rPr>
      <w:rFonts w:ascii="宋体" w:hAnsi="宋体" w:cs="宋体"/>
      <w:sz w:val="24"/>
      <w:szCs w:val="26"/>
    </w:rPr>
  </w:style>
  <w:style w:type="character" w:styleId="39">
    <w:name w:val="FollowedHyperlink"/>
    <w:basedOn w:val="37"/>
    <w:semiHidden/>
    <w:unhideWhenUsed/>
    <w:qFormat/>
    <w:uiPriority w:val="99"/>
    <w:rPr>
      <w:color w:val="954F72"/>
      <w:u w:val="single"/>
    </w:rPr>
  </w:style>
  <w:style w:type="character" w:styleId="40">
    <w:name w:val="Hyperlink"/>
    <w:basedOn w:val="37"/>
    <w:qFormat/>
    <w:uiPriority w:val="99"/>
    <w:rPr>
      <w:rFonts w:ascii="宋体" w:hAnsi="宋体" w:cs="宋体"/>
      <w:color w:val="0000FF"/>
      <w:sz w:val="24"/>
      <w:szCs w:val="26"/>
      <w:u w:val="single"/>
    </w:rPr>
  </w:style>
  <w:style w:type="character" w:styleId="41">
    <w:name w:val="annotation reference"/>
    <w:basedOn w:val="37"/>
    <w:semiHidden/>
    <w:unhideWhenUsed/>
    <w:qFormat/>
    <w:uiPriority w:val="99"/>
    <w:rPr>
      <w:sz w:val="21"/>
      <w:szCs w:val="21"/>
    </w:rPr>
  </w:style>
  <w:style w:type="character" w:customStyle="1" w:styleId="42">
    <w:name w:val="页眉 Char"/>
    <w:basedOn w:val="37"/>
    <w:link w:val="20"/>
    <w:qFormat/>
    <w:uiPriority w:val="99"/>
    <w:rPr>
      <w:sz w:val="18"/>
      <w:szCs w:val="18"/>
    </w:rPr>
  </w:style>
  <w:style w:type="character" w:customStyle="1" w:styleId="43">
    <w:name w:val="页脚 Char"/>
    <w:basedOn w:val="37"/>
    <w:link w:val="19"/>
    <w:qFormat/>
    <w:uiPriority w:val="99"/>
    <w:rPr>
      <w:sz w:val="18"/>
      <w:szCs w:val="18"/>
    </w:rPr>
  </w:style>
  <w:style w:type="character" w:customStyle="1" w:styleId="44">
    <w:name w:val="标题 1 Char"/>
    <w:basedOn w:val="37"/>
    <w:link w:val="3"/>
    <w:qFormat/>
    <w:uiPriority w:val="0"/>
    <w:rPr>
      <w:rFonts w:ascii="Times New Roman" w:hAnsi="Times New Roman" w:eastAsia="宋体" w:cs="Times New Roman"/>
      <w:b/>
      <w:bCs/>
      <w:kern w:val="44"/>
      <w:sz w:val="44"/>
      <w:szCs w:val="44"/>
    </w:rPr>
  </w:style>
  <w:style w:type="character" w:customStyle="1" w:styleId="45">
    <w:name w:val="标题 2 Char"/>
    <w:basedOn w:val="37"/>
    <w:link w:val="4"/>
    <w:qFormat/>
    <w:uiPriority w:val="0"/>
    <w:rPr>
      <w:rFonts w:ascii="Arial" w:hAnsi="Arial" w:eastAsia="黑体" w:cs="Times New Roman"/>
      <w:b/>
      <w:bCs/>
      <w:sz w:val="32"/>
      <w:szCs w:val="32"/>
    </w:rPr>
  </w:style>
  <w:style w:type="character" w:customStyle="1" w:styleId="46">
    <w:name w:val="标题 3 Char"/>
    <w:basedOn w:val="37"/>
    <w:link w:val="5"/>
    <w:qFormat/>
    <w:uiPriority w:val="9"/>
    <w:rPr>
      <w:rFonts w:ascii="Times New Roman" w:hAnsi="Times New Roman" w:eastAsia="宋体" w:cs="Times New Roman"/>
      <w:b/>
      <w:bCs/>
      <w:sz w:val="32"/>
      <w:szCs w:val="32"/>
    </w:rPr>
  </w:style>
  <w:style w:type="character" w:customStyle="1" w:styleId="47">
    <w:name w:val="标题 4 Char"/>
    <w:basedOn w:val="37"/>
    <w:link w:val="6"/>
    <w:qFormat/>
    <w:uiPriority w:val="0"/>
    <w:rPr>
      <w:rFonts w:ascii="Cambria" w:hAnsi="Cambria" w:eastAsia="宋体" w:cs="Times New Roman"/>
      <w:b/>
      <w:bCs/>
      <w:sz w:val="28"/>
      <w:szCs w:val="28"/>
    </w:rPr>
  </w:style>
  <w:style w:type="character" w:customStyle="1" w:styleId="48">
    <w:name w:val="正文文本 Char"/>
    <w:basedOn w:val="37"/>
    <w:link w:val="2"/>
    <w:qFormat/>
    <w:uiPriority w:val="99"/>
    <w:rPr>
      <w:rFonts w:ascii="Times New Roman" w:hAnsi="Times New Roman" w:eastAsia="宋体" w:cs="Times New Roman"/>
      <w:szCs w:val="24"/>
    </w:rPr>
  </w:style>
  <w:style w:type="character" w:customStyle="1" w:styleId="49">
    <w:name w:val="正文缩进 Char"/>
    <w:link w:val="7"/>
    <w:qFormat/>
    <w:uiPriority w:val="0"/>
    <w:rPr>
      <w:rFonts w:ascii="Times New Roman" w:hAnsi="Times New Roman" w:eastAsia="宋体" w:cs="Times New Roman"/>
      <w:szCs w:val="24"/>
    </w:rPr>
  </w:style>
  <w:style w:type="character" w:customStyle="1" w:styleId="50">
    <w:name w:val="文档结构图 Char"/>
    <w:basedOn w:val="37"/>
    <w:link w:val="9"/>
    <w:semiHidden/>
    <w:qFormat/>
    <w:uiPriority w:val="0"/>
    <w:rPr>
      <w:rFonts w:ascii="Times New Roman" w:hAnsi="Times New Roman" w:eastAsia="宋体" w:cs="Times New Roman"/>
      <w:szCs w:val="24"/>
      <w:shd w:val="clear" w:color="auto" w:fill="000080"/>
    </w:rPr>
  </w:style>
  <w:style w:type="character" w:customStyle="1" w:styleId="51">
    <w:name w:val="批注文字 Char"/>
    <w:basedOn w:val="37"/>
    <w:link w:val="10"/>
    <w:qFormat/>
    <w:uiPriority w:val="0"/>
    <w:rPr>
      <w:rFonts w:ascii="Times New Roman" w:hAnsi="Times New Roman" w:eastAsia="宋体" w:cs="Times New Roman"/>
      <w:szCs w:val="24"/>
    </w:rPr>
  </w:style>
  <w:style w:type="character" w:customStyle="1" w:styleId="52">
    <w:name w:val="正文文本缩进 Char"/>
    <w:basedOn w:val="37"/>
    <w:link w:val="11"/>
    <w:qFormat/>
    <w:uiPriority w:val="0"/>
    <w:rPr>
      <w:rFonts w:ascii="Times New Roman" w:hAnsi="Times New Roman" w:eastAsia="宋体" w:cs="Times New Roman"/>
      <w:szCs w:val="24"/>
    </w:rPr>
  </w:style>
  <w:style w:type="character" w:customStyle="1" w:styleId="53">
    <w:name w:val="纯文本 Char"/>
    <w:basedOn w:val="37"/>
    <w:link w:val="14"/>
    <w:qFormat/>
    <w:uiPriority w:val="0"/>
    <w:rPr>
      <w:rFonts w:ascii="宋体" w:hAnsi="Courier New" w:eastAsia="宋体" w:cs="Courier New"/>
      <w:szCs w:val="21"/>
    </w:rPr>
  </w:style>
  <w:style w:type="character" w:customStyle="1" w:styleId="54">
    <w:name w:val="日期 Char"/>
    <w:basedOn w:val="37"/>
    <w:link w:val="16"/>
    <w:semiHidden/>
    <w:qFormat/>
    <w:uiPriority w:val="99"/>
    <w:rPr>
      <w:rFonts w:ascii="Times New Roman" w:hAnsi="Times New Roman" w:eastAsia="宋体" w:cs="Times New Roman"/>
      <w:szCs w:val="24"/>
    </w:rPr>
  </w:style>
  <w:style w:type="character" w:customStyle="1" w:styleId="55">
    <w:name w:val="正文文本缩进 2 Char"/>
    <w:basedOn w:val="37"/>
    <w:link w:val="17"/>
    <w:qFormat/>
    <w:uiPriority w:val="0"/>
    <w:rPr>
      <w:rFonts w:ascii="Times New Roman" w:hAnsi="Times New Roman" w:eastAsia="宋体" w:cs="Times New Roman"/>
      <w:szCs w:val="24"/>
    </w:rPr>
  </w:style>
  <w:style w:type="character" w:customStyle="1" w:styleId="56">
    <w:name w:val="批注框文本 Char"/>
    <w:basedOn w:val="37"/>
    <w:link w:val="18"/>
    <w:semiHidden/>
    <w:qFormat/>
    <w:uiPriority w:val="0"/>
    <w:rPr>
      <w:rFonts w:ascii="Times New Roman" w:hAnsi="Times New Roman" w:eastAsia="宋体" w:cs="Times New Roman"/>
      <w:sz w:val="18"/>
      <w:szCs w:val="18"/>
    </w:rPr>
  </w:style>
  <w:style w:type="character" w:customStyle="1" w:styleId="57">
    <w:name w:val="正文文本缩进 3 Char"/>
    <w:basedOn w:val="37"/>
    <w:link w:val="25"/>
    <w:qFormat/>
    <w:uiPriority w:val="0"/>
    <w:rPr>
      <w:rFonts w:ascii="Times New Roman" w:hAnsi="Times New Roman" w:eastAsia="宋体" w:cs="Times New Roman"/>
      <w:sz w:val="16"/>
      <w:szCs w:val="16"/>
    </w:rPr>
  </w:style>
  <w:style w:type="character" w:customStyle="1" w:styleId="58">
    <w:name w:val="正文文本 2 Char"/>
    <w:basedOn w:val="37"/>
    <w:link w:val="28"/>
    <w:qFormat/>
    <w:uiPriority w:val="0"/>
    <w:rPr>
      <w:rFonts w:ascii="Times New Roman" w:hAnsi="Times New Roman" w:eastAsia="仿宋_GB2312" w:cs="Times New Roman"/>
      <w:szCs w:val="24"/>
    </w:rPr>
  </w:style>
  <w:style w:type="character" w:customStyle="1" w:styleId="59">
    <w:name w:val="标题 Char"/>
    <w:basedOn w:val="37"/>
    <w:link w:val="30"/>
    <w:qFormat/>
    <w:uiPriority w:val="10"/>
    <w:rPr>
      <w:rFonts w:ascii="宋体" w:hAnsi="宋体" w:eastAsia="Times New Roman" w:cs="Times New Roman"/>
      <w:bCs/>
      <w:sz w:val="24"/>
      <w:szCs w:val="28"/>
    </w:rPr>
  </w:style>
  <w:style w:type="character" w:customStyle="1" w:styleId="60">
    <w:name w:val="批注主题 Char"/>
    <w:basedOn w:val="51"/>
    <w:link w:val="31"/>
    <w:semiHidden/>
    <w:qFormat/>
    <w:uiPriority w:val="99"/>
    <w:rPr>
      <w:rFonts w:ascii="Times New Roman" w:hAnsi="Times New Roman" w:eastAsia="宋体" w:cs="Times New Roman"/>
      <w:b/>
      <w:bCs/>
      <w:szCs w:val="24"/>
    </w:rPr>
  </w:style>
  <w:style w:type="character" w:customStyle="1" w:styleId="61">
    <w:name w:val="正文首行缩进 Char"/>
    <w:basedOn w:val="48"/>
    <w:link w:val="32"/>
    <w:semiHidden/>
    <w:qFormat/>
    <w:uiPriority w:val="99"/>
    <w:rPr>
      <w:rFonts w:ascii="Times New Roman" w:hAnsi="Times New Roman" w:eastAsia="宋体" w:cs="Times New Roman"/>
      <w:szCs w:val="24"/>
    </w:rPr>
  </w:style>
  <w:style w:type="character" w:customStyle="1" w:styleId="62">
    <w:name w:val="正文首行缩进 2 Char1"/>
    <w:basedOn w:val="52"/>
    <w:link w:val="33"/>
    <w:qFormat/>
    <w:uiPriority w:val="0"/>
    <w:rPr>
      <w:rFonts w:ascii="Times New Roman" w:hAnsi="Times New Roman" w:eastAsia="宋体" w:cs="Times New Roman"/>
      <w:szCs w:val="24"/>
    </w:rPr>
  </w:style>
  <w:style w:type="character" w:customStyle="1" w:styleId="63">
    <w:name w:val="报告正文 Char"/>
    <w:basedOn w:val="37"/>
    <w:link w:val="64"/>
    <w:qFormat/>
    <w:uiPriority w:val="99"/>
    <w:rPr>
      <w:rFonts w:ascii="宋体" w:hAnsi="宋体" w:cs="宋体"/>
      <w:spacing w:val="10"/>
      <w:sz w:val="24"/>
      <w:szCs w:val="26"/>
    </w:rPr>
  </w:style>
  <w:style w:type="paragraph" w:customStyle="1" w:styleId="64">
    <w:name w:val="报告正文"/>
    <w:basedOn w:val="65"/>
    <w:link w:val="63"/>
    <w:qFormat/>
    <w:uiPriority w:val="99"/>
    <w:pPr>
      <w:spacing w:line="360" w:lineRule="auto"/>
      <w:ind w:firstLine="520" w:firstLineChars="200"/>
    </w:pPr>
    <w:rPr>
      <w:rFonts w:ascii="宋体" w:hAnsi="宋体" w:cs="宋体" w:eastAsiaTheme="minorEastAsia"/>
      <w:spacing w:val="10"/>
      <w:sz w:val="24"/>
      <w:szCs w:val="26"/>
    </w:rPr>
  </w:style>
  <w:style w:type="paragraph" w:customStyle="1" w:styleId="65">
    <w:name w:val="一级标题"/>
    <w:basedOn w:val="66"/>
    <w:qFormat/>
    <w:uiPriority w:val="0"/>
    <w:pPr>
      <w:spacing w:line="520" w:lineRule="exact"/>
      <w:jc w:val="left"/>
      <w:outlineLvl w:val="1"/>
    </w:pPr>
    <w:rPr>
      <w:rFonts w:eastAsia="黑体"/>
      <w:b w:val="0"/>
      <w:sz w:val="32"/>
    </w:rPr>
  </w:style>
  <w:style w:type="paragraph" w:customStyle="1" w:styleId="66">
    <w:name w:val="大标题"/>
    <w:basedOn w:val="1"/>
    <w:qFormat/>
    <w:uiPriority w:val="0"/>
    <w:pPr>
      <w:spacing w:beforeLines="50" w:afterLines="50"/>
      <w:jc w:val="center"/>
      <w:outlineLvl w:val="0"/>
    </w:pPr>
    <w:rPr>
      <w:b/>
      <w:sz w:val="36"/>
      <w:szCs w:val="20"/>
    </w:rPr>
  </w:style>
  <w:style w:type="character" w:customStyle="1" w:styleId="67">
    <w:name w:val="表格1 Char"/>
    <w:link w:val="68"/>
    <w:qFormat/>
    <w:uiPriority w:val="0"/>
    <w:rPr>
      <w:rFonts w:ascii="Calibri" w:hAnsi="Calibri" w:eastAsia="宋体"/>
      <w:sz w:val="24"/>
      <w:szCs w:val="21"/>
      <w:lang w:eastAsia="en-US" w:bidi="en-US"/>
    </w:rPr>
  </w:style>
  <w:style w:type="paragraph" w:customStyle="1" w:styleId="68">
    <w:name w:val="表格1"/>
    <w:basedOn w:val="1"/>
    <w:link w:val="67"/>
    <w:qFormat/>
    <w:uiPriority w:val="0"/>
    <w:pPr>
      <w:widowControl/>
      <w:tabs>
        <w:tab w:val="center" w:pos="0"/>
      </w:tabs>
      <w:autoSpaceDE w:val="0"/>
      <w:autoSpaceDN w:val="0"/>
      <w:adjustRightInd w:val="0"/>
      <w:spacing w:line="240" w:lineRule="atLeast"/>
      <w:jc w:val="center"/>
      <w:textAlignment w:val="baseline"/>
    </w:pPr>
    <w:rPr>
      <w:rFonts w:ascii="Calibri" w:hAnsi="Calibri" w:cstheme="minorBidi"/>
      <w:sz w:val="24"/>
      <w:szCs w:val="21"/>
      <w:lang w:eastAsia="en-US" w:bidi="en-US"/>
    </w:rPr>
  </w:style>
  <w:style w:type="character" w:customStyle="1" w:styleId="69">
    <w:name w:val="条标题1.1.1 Char"/>
    <w:basedOn w:val="37"/>
    <w:qFormat/>
    <w:uiPriority w:val="0"/>
    <w:rPr>
      <w:rFonts w:ascii="宋体" w:hAnsi="宋体" w:cs="宋体"/>
      <w:b/>
      <w:sz w:val="28"/>
      <w:szCs w:val="32"/>
    </w:rPr>
  </w:style>
  <w:style w:type="character" w:customStyle="1" w:styleId="70">
    <w:name w:val="！正文 Char Char"/>
    <w:basedOn w:val="37"/>
    <w:link w:val="71"/>
    <w:qFormat/>
    <w:uiPriority w:val="0"/>
    <w:rPr>
      <w:rFonts w:ascii="宋体" w:hAnsi="宋体" w:cs="宋体"/>
      <w:sz w:val="24"/>
      <w:szCs w:val="24"/>
    </w:rPr>
  </w:style>
  <w:style w:type="paragraph" w:customStyle="1" w:styleId="71">
    <w:name w:val="！正文"/>
    <w:basedOn w:val="1"/>
    <w:link w:val="70"/>
    <w:qFormat/>
    <w:uiPriority w:val="0"/>
    <w:pPr>
      <w:spacing w:line="360" w:lineRule="auto"/>
      <w:ind w:firstLine="480" w:firstLineChars="200"/>
    </w:pPr>
    <w:rPr>
      <w:rFonts w:ascii="宋体" w:hAnsi="宋体" w:cs="宋体" w:eastAsiaTheme="minorEastAsia"/>
      <w:sz w:val="24"/>
    </w:rPr>
  </w:style>
  <w:style w:type="character" w:customStyle="1" w:styleId="72">
    <w:name w:val="txt141"/>
    <w:qFormat/>
    <w:uiPriority w:val="0"/>
    <w:rPr>
      <w:sz w:val="21"/>
      <w:szCs w:val="21"/>
      <w:u w:val="none"/>
    </w:rPr>
  </w:style>
  <w:style w:type="character" w:customStyle="1" w:styleId="73">
    <w:name w:val="明显引用 Char"/>
    <w:basedOn w:val="37"/>
    <w:link w:val="74"/>
    <w:qFormat/>
    <w:uiPriority w:val="0"/>
    <w:rPr>
      <w:rFonts w:ascii="Calibri" w:hAnsi="Calibri" w:eastAsia="宋体" w:cs="宋体"/>
      <w:b/>
      <w:i/>
      <w:sz w:val="24"/>
      <w:lang w:eastAsia="en-US" w:bidi="en-US"/>
    </w:rPr>
  </w:style>
  <w:style w:type="paragraph" w:styleId="74">
    <w:name w:val="Intense Quote"/>
    <w:basedOn w:val="1"/>
    <w:next w:val="1"/>
    <w:link w:val="73"/>
    <w:qFormat/>
    <w:uiPriority w:val="0"/>
    <w:pPr>
      <w:widowControl/>
      <w:spacing w:line="450" w:lineRule="exact"/>
      <w:ind w:left="720" w:right="720"/>
      <w:jc w:val="left"/>
    </w:pPr>
    <w:rPr>
      <w:rFonts w:ascii="Calibri" w:hAnsi="Calibri" w:cs="宋体"/>
      <w:b/>
      <w:i/>
      <w:sz w:val="24"/>
      <w:szCs w:val="22"/>
      <w:lang w:eastAsia="en-US" w:bidi="en-US"/>
    </w:rPr>
  </w:style>
  <w:style w:type="character" w:customStyle="1" w:styleId="75">
    <w:name w:val="明显引用 字符1"/>
    <w:basedOn w:val="37"/>
    <w:qFormat/>
    <w:uiPriority w:val="30"/>
    <w:rPr>
      <w:rFonts w:ascii="Times New Roman" w:hAnsi="Times New Roman" w:eastAsia="宋体" w:cs="Times New Roman"/>
      <w:i/>
      <w:iCs/>
      <w:color w:val="4472C4" w:themeColor="accent1"/>
      <w:szCs w:val="24"/>
    </w:rPr>
  </w:style>
  <w:style w:type="character" w:customStyle="1" w:styleId="76">
    <w:name w:val="Char Char9"/>
    <w:basedOn w:val="37"/>
    <w:qFormat/>
    <w:uiPriority w:val="0"/>
    <w:rPr>
      <w:rFonts w:ascii="宋体" w:hAnsi="宋体" w:cs="宋体"/>
      <w:b/>
      <w:bCs/>
      <w:kern w:val="44"/>
      <w:sz w:val="32"/>
      <w:szCs w:val="44"/>
    </w:rPr>
  </w:style>
  <w:style w:type="character" w:customStyle="1" w:styleId="77">
    <w:name w:val="表格 Char Char"/>
    <w:basedOn w:val="37"/>
    <w:link w:val="78"/>
    <w:qFormat/>
    <w:uiPriority w:val="0"/>
    <w:rPr>
      <w:rFonts w:ascii="宋体" w:hAnsi="宋体" w:eastAsia="宋体" w:cs="宋体"/>
      <w:szCs w:val="21"/>
      <w:lang w:eastAsia="en-US" w:bidi="en-US"/>
    </w:rPr>
  </w:style>
  <w:style w:type="paragraph" w:customStyle="1" w:styleId="78">
    <w:name w:val="表格"/>
    <w:basedOn w:val="1"/>
    <w:link w:val="77"/>
    <w:qFormat/>
    <w:uiPriority w:val="0"/>
    <w:pPr>
      <w:widowControl/>
      <w:tabs>
        <w:tab w:val="center" w:pos="0"/>
      </w:tabs>
      <w:autoSpaceDE w:val="0"/>
      <w:autoSpaceDN w:val="0"/>
      <w:adjustRightInd w:val="0"/>
      <w:spacing w:line="240" w:lineRule="exact"/>
      <w:jc w:val="center"/>
      <w:textAlignment w:val="baseline"/>
    </w:pPr>
    <w:rPr>
      <w:rFonts w:ascii="宋体" w:hAnsi="宋体" w:cs="宋体"/>
      <w:szCs w:val="21"/>
      <w:lang w:eastAsia="en-US" w:bidi="en-US"/>
    </w:rPr>
  </w:style>
  <w:style w:type="character" w:customStyle="1" w:styleId="79">
    <w:name w:val="样式 仿宋_GB2312 四号"/>
    <w:basedOn w:val="37"/>
    <w:qFormat/>
    <w:uiPriority w:val="0"/>
    <w:rPr>
      <w:rFonts w:ascii="Times New Roman" w:hAnsi="Times New Roman" w:eastAsia="宋体" w:cs="宋体"/>
      <w:sz w:val="28"/>
      <w:szCs w:val="26"/>
    </w:rPr>
  </w:style>
  <w:style w:type="character" w:customStyle="1" w:styleId="80">
    <w:name w:val="1.1 Char Char"/>
    <w:basedOn w:val="37"/>
    <w:qFormat/>
    <w:uiPriority w:val="0"/>
    <w:rPr>
      <w:rFonts w:ascii="Arial" w:hAnsi="Arial" w:eastAsia="黑体" w:cs="宋体"/>
      <w:b/>
      <w:bCs/>
      <w:kern w:val="2"/>
      <w:sz w:val="32"/>
      <w:szCs w:val="32"/>
      <w:lang w:val="en-US" w:eastAsia="zh-CN" w:bidi="ar-SA"/>
    </w:rPr>
  </w:style>
  <w:style w:type="character" w:customStyle="1" w:styleId="81">
    <w:name w:val="样式 样式 宋体 段前: 0.5 行 行距: 固定值 18 磅 + 首行缩进:  2 字符 Char"/>
    <w:link w:val="82"/>
    <w:qFormat/>
    <w:uiPriority w:val="0"/>
    <w:rPr>
      <w:rFonts w:cs="宋体"/>
      <w:sz w:val="24"/>
      <w:szCs w:val="24"/>
    </w:rPr>
  </w:style>
  <w:style w:type="paragraph" w:customStyle="1" w:styleId="82">
    <w:name w:val="样式 样式 宋体 段前: 0.5 行 行距: 固定值 18 磅 + 首行缩进:  2 字符"/>
    <w:basedOn w:val="1"/>
    <w:link w:val="81"/>
    <w:qFormat/>
    <w:uiPriority w:val="0"/>
    <w:pPr>
      <w:tabs>
        <w:tab w:val="left" w:pos="4830"/>
        <w:tab w:val="left" w:pos="5060"/>
        <w:tab w:val="left" w:pos="6670"/>
      </w:tabs>
      <w:snapToGrid w:val="0"/>
      <w:spacing w:line="360" w:lineRule="auto"/>
      <w:ind w:firstLine="480" w:firstLineChars="200"/>
      <w:jc w:val="left"/>
    </w:pPr>
    <w:rPr>
      <w:rFonts w:cs="宋体" w:asciiTheme="minorHAnsi" w:hAnsiTheme="minorHAnsi" w:eastAsiaTheme="minorEastAsia"/>
      <w:sz w:val="24"/>
    </w:rPr>
  </w:style>
  <w:style w:type="character" w:customStyle="1" w:styleId="83">
    <w:name w:val="表头 Char Char1"/>
    <w:link w:val="84"/>
    <w:qFormat/>
    <w:uiPriority w:val="0"/>
    <w:rPr>
      <w:rFonts w:ascii="Calibri" w:hAnsi="Calibri"/>
      <w:b/>
      <w:szCs w:val="24"/>
      <w:lang w:eastAsia="en-US" w:bidi="en-US"/>
    </w:rPr>
  </w:style>
  <w:style w:type="paragraph" w:customStyle="1" w:styleId="84">
    <w:name w:val="表头"/>
    <w:basedOn w:val="1"/>
    <w:link w:val="83"/>
    <w:qFormat/>
    <w:uiPriority w:val="0"/>
    <w:pPr>
      <w:widowControl/>
      <w:spacing w:line="450" w:lineRule="exact"/>
      <w:jc w:val="left"/>
    </w:pPr>
    <w:rPr>
      <w:rFonts w:ascii="Calibri" w:hAnsi="Calibri" w:eastAsiaTheme="minorEastAsia" w:cstheme="minorBidi"/>
      <w:b/>
      <w:lang w:eastAsia="en-US" w:bidi="en-US"/>
    </w:rPr>
  </w:style>
  <w:style w:type="character" w:customStyle="1" w:styleId="85">
    <w:name w:val="表标题 Char"/>
    <w:basedOn w:val="37"/>
    <w:link w:val="86"/>
    <w:qFormat/>
    <w:uiPriority w:val="0"/>
    <w:rPr>
      <w:rFonts w:ascii="宋体" w:hAnsi="宋体" w:cs="宋体"/>
      <w:b/>
      <w:bCs/>
      <w:sz w:val="24"/>
      <w:szCs w:val="26"/>
    </w:rPr>
  </w:style>
  <w:style w:type="paragraph" w:customStyle="1" w:styleId="86">
    <w:name w:val="表标题"/>
    <w:basedOn w:val="1"/>
    <w:next w:val="1"/>
    <w:link w:val="85"/>
    <w:qFormat/>
    <w:uiPriority w:val="0"/>
    <w:pPr>
      <w:widowControl/>
      <w:spacing w:line="360" w:lineRule="exact"/>
      <w:ind w:firstLine="180"/>
      <w:jc w:val="center"/>
    </w:pPr>
    <w:rPr>
      <w:rFonts w:ascii="宋体" w:hAnsi="宋体" w:cs="宋体" w:eastAsiaTheme="minorEastAsia"/>
      <w:b/>
      <w:bCs/>
      <w:sz w:val="24"/>
      <w:szCs w:val="26"/>
    </w:rPr>
  </w:style>
  <w:style w:type="character" w:customStyle="1" w:styleId="87">
    <w:name w:val="h2 Char"/>
    <w:basedOn w:val="37"/>
    <w:qFormat/>
    <w:uiPriority w:val="0"/>
    <w:rPr>
      <w:rFonts w:ascii="Arial" w:hAnsi="Arial" w:eastAsia="黑体" w:cs="宋体"/>
      <w:b/>
      <w:bCs/>
      <w:kern w:val="2"/>
      <w:sz w:val="32"/>
      <w:szCs w:val="32"/>
      <w:lang w:val="en-US" w:eastAsia="zh-CN" w:bidi="ar-SA"/>
    </w:rPr>
  </w:style>
  <w:style w:type="character" w:customStyle="1" w:styleId="88">
    <w:name w:val="表格1 Char Char"/>
    <w:basedOn w:val="37"/>
    <w:qFormat/>
    <w:uiPriority w:val="0"/>
    <w:rPr>
      <w:rFonts w:ascii="Calibri" w:hAnsi="Calibri" w:eastAsia="宋体" w:cs="宋体"/>
      <w:sz w:val="24"/>
      <w:szCs w:val="21"/>
      <w:lang w:val="en-US" w:eastAsia="en-US" w:bidi="en-US"/>
    </w:rPr>
  </w:style>
  <w:style w:type="character" w:customStyle="1" w:styleId="89">
    <w:name w:val="font11"/>
    <w:basedOn w:val="37"/>
    <w:qFormat/>
    <w:uiPriority w:val="0"/>
    <w:rPr>
      <w:rFonts w:hint="eastAsia" w:ascii="宋体" w:hAnsi="宋体" w:eastAsia="宋体" w:cs="宋体"/>
      <w:color w:val="000000"/>
      <w:sz w:val="21"/>
      <w:szCs w:val="21"/>
      <w:u w:val="none"/>
    </w:rPr>
  </w:style>
  <w:style w:type="character" w:customStyle="1" w:styleId="90">
    <w:name w:val="页脚 字符1"/>
    <w:basedOn w:val="37"/>
    <w:semiHidden/>
    <w:qFormat/>
    <w:uiPriority w:val="99"/>
    <w:rPr>
      <w:rFonts w:ascii="Times New Roman" w:hAnsi="Times New Roman" w:eastAsia="宋体" w:cs="Times New Roman"/>
      <w:sz w:val="18"/>
      <w:szCs w:val="18"/>
    </w:rPr>
  </w:style>
  <w:style w:type="paragraph" w:customStyle="1" w:styleId="91">
    <w:name w:val="xl2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2">
    <w:name w:val="图标标题"/>
    <w:basedOn w:val="64"/>
    <w:qFormat/>
    <w:uiPriority w:val="0"/>
    <w:pPr>
      <w:spacing w:line="240" w:lineRule="auto"/>
      <w:ind w:firstLine="0"/>
      <w:jc w:val="center"/>
    </w:pPr>
    <w:rPr>
      <w:rFonts w:eastAsia="仿宋_GB2312"/>
      <w:b/>
      <w:spacing w:val="0"/>
    </w:rPr>
  </w:style>
  <w:style w:type="paragraph" w:customStyle="1" w:styleId="93">
    <w:name w:val="Char Char Char Char"/>
    <w:basedOn w:val="1"/>
    <w:qFormat/>
    <w:uiPriority w:val="0"/>
  </w:style>
  <w:style w:type="paragraph" w:customStyle="1" w:styleId="94">
    <w:name w:val="Char"/>
    <w:basedOn w:val="1"/>
    <w:qFormat/>
    <w:uiPriority w:val="0"/>
  </w:style>
  <w:style w:type="paragraph" w:styleId="95">
    <w:name w:val="List Paragraph"/>
    <w:basedOn w:val="1"/>
    <w:qFormat/>
    <w:uiPriority w:val="34"/>
    <w:pPr>
      <w:ind w:firstLine="420" w:firstLineChars="200"/>
    </w:pPr>
  </w:style>
  <w:style w:type="paragraph" w:customStyle="1" w:styleId="96">
    <w:name w:val="1一级标题"/>
    <w:basedOn w:val="1"/>
    <w:qFormat/>
    <w:uiPriority w:val="99"/>
    <w:pPr>
      <w:jc w:val="left"/>
      <w:outlineLvl w:val="0"/>
    </w:pPr>
    <w:rPr>
      <w:rFonts w:eastAsia="黑体"/>
      <w:bCs/>
      <w:sz w:val="32"/>
      <w:szCs w:val="32"/>
    </w:rPr>
  </w:style>
  <w:style w:type="paragraph" w:customStyle="1" w:styleId="97">
    <w:name w:val="图表标题"/>
    <w:basedOn w:val="1"/>
    <w:qFormat/>
    <w:uiPriority w:val="0"/>
    <w:pPr>
      <w:jc w:val="center"/>
    </w:pPr>
    <w:rPr>
      <w:rFonts w:eastAsia="仿宋_GB2312"/>
      <w:b/>
      <w:bCs/>
      <w:sz w:val="24"/>
      <w:szCs w:val="32"/>
    </w:rPr>
  </w:style>
  <w:style w:type="paragraph" w:customStyle="1" w:styleId="98">
    <w:name w:val="_Style 8"/>
    <w:basedOn w:val="1"/>
    <w:qFormat/>
    <w:uiPriority w:val="0"/>
    <w:pPr>
      <w:spacing w:line="450" w:lineRule="exact"/>
    </w:pPr>
    <w:rPr>
      <w:sz w:val="24"/>
      <w:szCs w:val="20"/>
    </w:rPr>
  </w:style>
  <w:style w:type="paragraph" w:customStyle="1" w:styleId="99">
    <w:name w:val="cdy正文"/>
    <w:basedOn w:val="1"/>
    <w:qFormat/>
    <w:uiPriority w:val="0"/>
    <w:pPr>
      <w:spacing w:line="420" w:lineRule="auto"/>
    </w:pPr>
  </w:style>
  <w:style w:type="paragraph" w:customStyle="1" w:styleId="100">
    <w:name w:val="表格文字1"/>
    <w:basedOn w:val="1"/>
    <w:qFormat/>
    <w:uiPriority w:val="0"/>
    <w:pPr>
      <w:spacing w:line="280" w:lineRule="exact"/>
      <w:jc w:val="center"/>
    </w:pPr>
    <w:rPr>
      <w:rFonts w:ascii="仿宋_GB2312" w:eastAsia="仿宋_GB2312"/>
      <w:szCs w:val="21"/>
    </w:rPr>
  </w:style>
  <w:style w:type="paragraph" w:customStyle="1" w:styleId="101">
    <w:name w:val="Table Paragraph"/>
    <w:basedOn w:val="1"/>
    <w:unhideWhenUsed/>
    <w:qFormat/>
    <w:uiPriority w:val="1"/>
    <w:pPr>
      <w:autoSpaceDE w:val="0"/>
      <w:autoSpaceDN w:val="0"/>
      <w:adjustRightInd w:val="0"/>
      <w:jc w:val="left"/>
    </w:pPr>
    <w:rPr>
      <w:rFonts w:hint="eastAsia"/>
      <w:kern w:val="0"/>
      <w:szCs w:val="20"/>
    </w:rPr>
  </w:style>
  <w:style w:type="paragraph" w:customStyle="1" w:styleId="102">
    <w:name w:val="样式 行距: 固定值 19 磅"/>
    <w:basedOn w:val="1"/>
    <w:qFormat/>
    <w:uiPriority w:val="0"/>
    <w:pPr>
      <w:widowControl/>
      <w:spacing w:beforeLines="50" w:line="520" w:lineRule="exact"/>
      <w:ind w:firstLine="118" w:firstLineChars="49"/>
      <w:jc w:val="center"/>
    </w:pPr>
    <w:rPr>
      <w:rFonts w:ascii="宋体" w:hAnsi="宋体"/>
      <w:sz w:val="18"/>
      <w:szCs w:val="18"/>
    </w:rPr>
  </w:style>
  <w:style w:type="paragraph" w:customStyle="1" w:styleId="103">
    <w:name w:val="xl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olor w:val="000000"/>
      <w:kern w:val="0"/>
      <w:szCs w:val="21"/>
    </w:rPr>
  </w:style>
  <w:style w:type="paragraph" w:customStyle="1" w:styleId="104">
    <w:name w:val="段落1"/>
    <w:basedOn w:val="1"/>
    <w:link w:val="105"/>
    <w:qFormat/>
    <w:uiPriority w:val="0"/>
    <w:pPr>
      <w:ind w:firstLine="560" w:firstLineChars="200"/>
    </w:pPr>
    <w:rPr>
      <w:rFonts w:eastAsia="仿宋_GB2312"/>
      <w:sz w:val="28"/>
    </w:rPr>
  </w:style>
  <w:style w:type="character" w:customStyle="1" w:styleId="105">
    <w:name w:val="段落1 Char"/>
    <w:link w:val="104"/>
    <w:qFormat/>
    <w:uiPriority w:val="0"/>
    <w:rPr>
      <w:rFonts w:ascii="Times New Roman" w:hAnsi="Times New Roman" w:eastAsia="仿宋_GB2312" w:cs="Times New Roman"/>
      <w:sz w:val="28"/>
      <w:szCs w:val="24"/>
    </w:rPr>
  </w:style>
  <w:style w:type="paragraph" w:customStyle="1" w:styleId="106">
    <w:name w:val="默认段落字体 Para Char Char Char Char Char Char Char Char Char3 Char Char Char Char"/>
    <w:basedOn w:val="9"/>
    <w:qFormat/>
    <w:uiPriority w:val="0"/>
    <w:pPr>
      <w:adjustRightInd w:val="0"/>
      <w:spacing w:line="240" w:lineRule="exact"/>
      <w:ind w:left="357"/>
      <w:jc w:val="left"/>
      <w:outlineLvl w:val="3"/>
    </w:pPr>
    <w:rPr>
      <w:rFonts w:ascii="Tahoma" w:hAnsi="Tahoma"/>
      <w:szCs w:val="21"/>
    </w:rPr>
  </w:style>
  <w:style w:type="paragraph" w:customStyle="1" w:styleId="107">
    <w:name w:val="样式 首行缩进:  2 字符"/>
    <w:basedOn w:val="1"/>
    <w:qFormat/>
    <w:uiPriority w:val="0"/>
    <w:pPr>
      <w:spacing w:line="500" w:lineRule="exact"/>
      <w:ind w:firstLine="472" w:firstLineChars="200"/>
    </w:pPr>
    <w:rPr>
      <w:spacing w:val="-2"/>
    </w:rPr>
  </w:style>
  <w:style w:type="paragraph" w:customStyle="1" w:styleId="108">
    <w:name w:val="Char Char Char Char Char Char Char Char Char Char Char Char Char Char"/>
    <w:qFormat/>
    <w:uiPriority w:val="0"/>
    <w:pPr>
      <w:widowControl w:val="0"/>
      <w:spacing w:line="480" w:lineRule="auto"/>
      <w:ind w:firstLine="200" w:firstLineChars="200"/>
      <w:jc w:val="both"/>
    </w:pPr>
    <w:rPr>
      <w:rFonts w:ascii="Times New Roman" w:hAnsi="Times New Roman" w:eastAsia="仿宋_GB2312" w:cs="Times New Roman"/>
      <w:kern w:val="2"/>
      <w:sz w:val="24"/>
      <w:szCs w:val="24"/>
      <w:lang w:val="en-US" w:eastAsia="zh-CN" w:bidi="ar-SA"/>
    </w:rPr>
  </w:style>
  <w:style w:type="paragraph" w:customStyle="1" w:styleId="109">
    <w:name w:val="Char Char Char Char1"/>
    <w:basedOn w:val="1"/>
    <w:qFormat/>
    <w:uiPriority w:val="0"/>
    <w:pPr>
      <w:spacing w:line="450" w:lineRule="exact"/>
    </w:pPr>
    <w:rPr>
      <w:sz w:val="24"/>
    </w:rPr>
  </w:style>
  <w:style w:type="paragraph" w:customStyle="1" w:styleId="110">
    <w:name w:val="1 Char Char Char"/>
    <w:basedOn w:val="5"/>
    <w:next w:val="6"/>
    <w:qFormat/>
    <w:uiPriority w:val="0"/>
    <w:pPr>
      <w:tabs>
        <w:tab w:val="left" w:pos="1200"/>
      </w:tabs>
      <w:ind w:left="432" w:hanging="432"/>
    </w:pPr>
    <w:rPr>
      <w:sz w:val="28"/>
    </w:rPr>
  </w:style>
  <w:style w:type="paragraph" w:customStyle="1" w:styleId="111">
    <w:name w:val="默认段落字体 Para Char Char Char Char Char Char Char"/>
    <w:basedOn w:val="9"/>
    <w:qFormat/>
    <w:uiPriority w:val="0"/>
    <w:pPr>
      <w:autoSpaceDE w:val="0"/>
      <w:autoSpaceDN w:val="0"/>
      <w:adjustRightInd w:val="0"/>
      <w:spacing w:beforeLines="100" w:afterLines="100" w:line="360" w:lineRule="auto"/>
      <w:jc w:val="left"/>
    </w:pPr>
    <w:rPr>
      <w:rFonts w:ascii="Tahoma" w:hAnsi="Tahoma"/>
      <w:kern w:val="0"/>
      <w:sz w:val="24"/>
    </w:rPr>
  </w:style>
  <w:style w:type="paragraph" w:customStyle="1" w:styleId="112">
    <w:name w:val="表体"/>
    <w:qFormat/>
    <w:uiPriority w:val="0"/>
    <w:pPr>
      <w:spacing w:line="0" w:lineRule="atLeast"/>
      <w:jc w:val="both"/>
    </w:pPr>
    <w:rPr>
      <w:rFonts w:ascii="Times New Roman" w:hAnsi="Times New Roman" w:eastAsia="宋体" w:cs="Times New Roman"/>
      <w:sz w:val="21"/>
      <w:szCs w:val="21"/>
      <w:lang w:val="en-US" w:eastAsia="zh-CN" w:bidi="ar-SA"/>
    </w:rPr>
  </w:style>
  <w:style w:type="paragraph" w:customStyle="1" w:styleId="113">
    <w:name w:val="p0"/>
    <w:basedOn w:val="1"/>
    <w:qFormat/>
    <w:uiPriority w:val="0"/>
    <w:pPr>
      <w:widowControl/>
    </w:pPr>
    <w:rPr>
      <w:kern w:val="0"/>
      <w:szCs w:val="21"/>
    </w:rPr>
  </w:style>
  <w:style w:type="paragraph" w:customStyle="1" w:styleId="114">
    <w:name w:val="4"/>
    <w:basedOn w:val="1"/>
    <w:qFormat/>
    <w:uiPriority w:val="0"/>
    <w:pPr>
      <w:spacing w:line="460" w:lineRule="exact"/>
      <w:ind w:firstLine="480" w:firstLineChars="200"/>
    </w:pPr>
    <w:rPr>
      <w:sz w:val="24"/>
    </w:rPr>
  </w:style>
  <w:style w:type="paragraph" w:customStyle="1" w:styleId="115">
    <w:name w:val="_Style 29"/>
    <w:basedOn w:val="1"/>
    <w:qFormat/>
    <w:uiPriority w:val="0"/>
    <w:pPr>
      <w:spacing w:line="450" w:lineRule="exact"/>
    </w:pPr>
    <w:rPr>
      <w:sz w:val="24"/>
      <w:szCs w:val="20"/>
    </w:rPr>
  </w:style>
  <w:style w:type="paragraph" w:customStyle="1" w:styleId="116">
    <w:name w:val="_Style 32"/>
    <w:basedOn w:val="1"/>
    <w:qFormat/>
    <w:uiPriority w:val="0"/>
    <w:pPr>
      <w:widowControl/>
      <w:jc w:val="left"/>
    </w:pPr>
    <w:rPr>
      <w:kern w:val="0"/>
      <w:sz w:val="20"/>
      <w:szCs w:val="20"/>
    </w:rPr>
  </w:style>
  <w:style w:type="paragraph" w:customStyle="1" w:styleId="117">
    <w:name w:val="4正文"/>
    <w:basedOn w:val="96"/>
    <w:qFormat/>
    <w:uiPriority w:val="0"/>
    <w:pPr>
      <w:spacing w:line="520" w:lineRule="exact"/>
      <w:ind w:firstLine="560" w:firstLineChars="200"/>
    </w:pPr>
    <w:rPr>
      <w:rFonts w:eastAsia="仿宋_GB2312"/>
      <w:sz w:val="28"/>
    </w:rPr>
  </w:style>
  <w:style w:type="paragraph" w:customStyle="1" w:styleId="118">
    <w:name w:val="三级标题"/>
    <w:basedOn w:val="1"/>
    <w:qFormat/>
    <w:uiPriority w:val="0"/>
    <w:pPr>
      <w:spacing w:line="460" w:lineRule="exact"/>
      <w:ind w:firstLine="482" w:firstLineChars="200"/>
      <w:jc w:val="left"/>
      <w:outlineLvl w:val="3"/>
    </w:pPr>
    <w:rPr>
      <w:rFonts w:ascii="宋体" w:hAnsi="宋体"/>
      <w:b/>
      <w:bCs/>
      <w:sz w:val="24"/>
      <w:szCs w:val="20"/>
      <w:lang w:val="zh-CN"/>
    </w:rPr>
  </w:style>
  <w:style w:type="paragraph" w:customStyle="1" w:styleId="119">
    <w:name w:val="外封标题2"/>
    <w:basedOn w:val="1"/>
    <w:next w:val="1"/>
    <w:qFormat/>
    <w:uiPriority w:val="0"/>
    <w:pPr>
      <w:widowControl/>
      <w:jc w:val="left"/>
    </w:pPr>
    <w:rPr>
      <w:rFonts w:eastAsia="华文中宋"/>
      <w:spacing w:val="100"/>
      <w:kern w:val="0"/>
      <w:sz w:val="56"/>
      <w:szCs w:val="56"/>
    </w:rPr>
  </w:style>
  <w:style w:type="paragraph" w:customStyle="1" w:styleId="120">
    <w:name w:val="样式 样式 首行缩进:  2 字符 + 首行缩进:  2 字符"/>
    <w:basedOn w:val="107"/>
    <w:qFormat/>
    <w:uiPriority w:val="0"/>
    <w:pPr>
      <w:spacing w:line="360" w:lineRule="auto"/>
      <w:ind w:firstLine="480"/>
    </w:pPr>
    <w:rPr>
      <w:rFonts w:ascii="宋体" w:hAnsi="宋体"/>
      <w:spacing w:val="0"/>
    </w:rPr>
  </w:style>
  <w:style w:type="paragraph" w:customStyle="1" w:styleId="1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2">
    <w:name w:val="Char1"/>
    <w:basedOn w:val="1"/>
    <w:qFormat/>
    <w:uiPriority w:val="0"/>
  </w:style>
  <w:style w:type="paragraph" w:customStyle="1" w:styleId="123">
    <w:name w:val="样式 首行缩进:  2 字符2"/>
    <w:basedOn w:val="1"/>
    <w:qFormat/>
    <w:uiPriority w:val="0"/>
    <w:pPr>
      <w:spacing w:line="500" w:lineRule="exact"/>
      <w:ind w:firstLine="480" w:firstLineChars="200"/>
    </w:pPr>
    <w:rPr>
      <w:rFonts w:cs="宋体"/>
      <w:szCs w:val="20"/>
    </w:rPr>
  </w:style>
  <w:style w:type="character" w:customStyle="1" w:styleId="124">
    <w:name w:val="标题 3 字符1"/>
    <w:qFormat/>
    <w:uiPriority w:val="0"/>
    <w:rPr>
      <w:rFonts w:ascii="Times New Roman" w:hAnsi="Times New Roman" w:eastAsia="宋体" w:cs="Times New Roman"/>
      <w:b/>
      <w:bCs/>
      <w:sz w:val="32"/>
      <w:szCs w:val="32"/>
    </w:rPr>
  </w:style>
  <w:style w:type="paragraph" w:customStyle="1" w:styleId="125">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26">
    <w:name w:val="正文样式 Char"/>
    <w:link w:val="127"/>
    <w:qFormat/>
    <w:uiPriority w:val="0"/>
    <w:rPr>
      <w:rFonts w:ascii="宋体" w:hAnsi="宋体"/>
      <w:sz w:val="24"/>
      <w:szCs w:val="24"/>
    </w:rPr>
  </w:style>
  <w:style w:type="paragraph" w:customStyle="1" w:styleId="127">
    <w:name w:val="正文样式"/>
    <w:basedOn w:val="1"/>
    <w:link w:val="126"/>
    <w:qFormat/>
    <w:uiPriority w:val="0"/>
    <w:pPr>
      <w:spacing w:line="360" w:lineRule="auto"/>
      <w:ind w:firstLine="880" w:firstLineChars="200"/>
    </w:pPr>
    <w:rPr>
      <w:rFonts w:ascii="宋体" w:hAnsi="宋体" w:eastAsiaTheme="minorEastAsia" w:cstheme="minorBidi"/>
      <w:sz w:val="24"/>
    </w:rPr>
  </w:style>
  <w:style w:type="paragraph" w:customStyle="1" w:styleId="128">
    <w:name w:val="图"/>
    <w:basedOn w:val="1"/>
    <w:link w:val="129"/>
    <w:qFormat/>
    <w:uiPriority w:val="0"/>
    <w:pPr>
      <w:snapToGrid w:val="0"/>
      <w:jc w:val="center"/>
      <w:outlineLvl w:val="6"/>
    </w:pPr>
    <w:rPr>
      <w:b/>
      <w:kern w:val="0"/>
      <w:sz w:val="24"/>
      <w:lang w:val="zh-CN"/>
    </w:rPr>
  </w:style>
  <w:style w:type="character" w:customStyle="1" w:styleId="129">
    <w:name w:val="图 Char"/>
    <w:link w:val="128"/>
    <w:qFormat/>
    <w:uiPriority w:val="0"/>
    <w:rPr>
      <w:rFonts w:ascii="Times New Roman" w:hAnsi="Times New Roman" w:eastAsia="宋体" w:cs="Times New Roman"/>
      <w:b/>
      <w:kern w:val="0"/>
      <w:sz w:val="24"/>
      <w:szCs w:val="24"/>
      <w:lang w:val="zh-CN"/>
    </w:rPr>
  </w:style>
  <w:style w:type="paragraph" w:styleId="130">
    <w:name w:val="No Spacing"/>
    <w:basedOn w:val="1"/>
    <w:link w:val="131"/>
    <w:qFormat/>
    <w:uiPriority w:val="1"/>
    <w:pPr>
      <w:snapToGrid w:val="0"/>
      <w:jc w:val="center"/>
    </w:pPr>
    <w:rPr>
      <w:rFonts w:eastAsia="仿宋_GB2312"/>
      <w:kern w:val="0"/>
      <w:sz w:val="20"/>
      <w:szCs w:val="21"/>
      <w:lang w:val="zh-CN"/>
    </w:rPr>
  </w:style>
  <w:style w:type="character" w:customStyle="1" w:styleId="131">
    <w:name w:val="无间隔 Char"/>
    <w:link w:val="130"/>
    <w:qFormat/>
    <w:uiPriority w:val="1"/>
    <w:rPr>
      <w:rFonts w:ascii="Times New Roman" w:hAnsi="Times New Roman" w:eastAsia="仿宋_GB2312" w:cs="Times New Roman"/>
      <w:kern w:val="0"/>
      <w:sz w:val="20"/>
      <w:szCs w:val="21"/>
      <w:lang w:val="zh-CN"/>
    </w:rPr>
  </w:style>
  <w:style w:type="paragraph" w:customStyle="1" w:styleId="132">
    <w:name w:val="正文11"/>
    <w:basedOn w:val="1"/>
    <w:qFormat/>
    <w:uiPriority w:val="0"/>
    <w:pPr>
      <w:spacing w:line="360" w:lineRule="auto"/>
      <w:ind w:firstLine="560" w:firstLineChars="200"/>
    </w:pPr>
    <w:rPr>
      <w:rFonts w:ascii="宋体" w:hAnsi="宋体"/>
      <w:sz w:val="28"/>
      <w:szCs w:val="28"/>
    </w:rPr>
  </w:style>
  <w:style w:type="paragraph" w:customStyle="1" w:styleId="133">
    <w:name w:val="列出段落1"/>
    <w:basedOn w:val="1"/>
    <w:qFormat/>
    <w:uiPriority w:val="99"/>
    <w:pPr>
      <w:spacing w:line="360" w:lineRule="auto"/>
      <w:ind w:firstLine="420" w:firstLineChars="200"/>
      <w:jc w:val="left"/>
    </w:pPr>
    <w:rPr>
      <w:rFonts w:eastAsia="仿宋" w:asciiTheme="minorHAnsi" w:hAnsiTheme="minorHAnsi" w:cstheme="minorBidi"/>
      <w:sz w:val="28"/>
    </w:rPr>
  </w:style>
  <w:style w:type="character" w:customStyle="1" w:styleId="134">
    <w:name w:val="正文首行缩进 2 Char"/>
    <w:qFormat/>
    <w:uiPriority w:val="0"/>
    <w:rPr>
      <w:rFonts w:ascii="Times New Roman" w:hAnsi="Times New Roman" w:eastAsia="宋体" w:cs="Times New Roman"/>
      <w:szCs w:val="24"/>
    </w:rPr>
  </w:style>
  <w:style w:type="paragraph" w:customStyle="1" w:styleId="135">
    <w:name w:val="报告正文缩进"/>
    <w:basedOn w:val="64"/>
    <w:qFormat/>
    <w:uiPriority w:val="0"/>
    <w:pPr>
      <w:adjustRightInd w:val="0"/>
      <w:snapToGrid w:val="0"/>
      <w:spacing w:beforeLines="0" w:afterLines="0" w:line="480" w:lineRule="exact"/>
      <w:ind w:firstLine="480"/>
      <w:jc w:val="both"/>
      <w:outlineLvl w:val="9"/>
    </w:pPr>
    <w:rPr>
      <w:rFonts w:ascii="Times New Roman" w:hAnsi="Times New Roman" w:eastAsia="宋体"/>
      <w:spacing w:val="0"/>
      <w:szCs w:val="24"/>
    </w:rPr>
  </w:style>
  <w:style w:type="paragraph" w:customStyle="1" w:styleId="13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8">
    <w:name w:val="xl6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139">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140">
    <w:name w:val="xl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18"/>
      <w:szCs w:val="18"/>
    </w:rPr>
  </w:style>
  <w:style w:type="paragraph" w:customStyle="1" w:styleId="141">
    <w:name w:val="xl6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142">
    <w:name w:val="xl6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textAlignment w:val="center"/>
    </w:pPr>
    <w:rPr>
      <w:rFonts w:ascii="宋体" w:hAnsi="宋体" w:cs="宋体"/>
      <w:kern w:val="0"/>
      <w:sz w:val="18"/>
      <w:szCs w:val="18"/>
    </w:rPr>
  </w:style>
  <w:style w:type="paragraph" w:customStyle="1" w:styleId="143">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144">
    <w:name w:val="1 Char Char Char2"/>
    <w:basedOn w:val="5"/>
    <w:next w:val="6"/>
    <w:qFormat/>
    <w:uiPriority w:val="0"/>
    <w:pPr>
      <w:keepNext w:val="0"/>
      <w:keepLines w:val="0"/>
      <w:numPr>
        <w:ilvl w:val="0"/>
        <w:numId w:val="1"/>
      </w:numPr>
      <w:tabs>
        <w:tab w:val="left" w:pos="1620"/>
      </w:tabs>
      <w:ind w:left="432" w:hanging="432"/>
    </w:pPr>
    <w:rPr>
      <w:bCs w:val="0"/>
      <w:kern w:val="0"/>
      <w:sz w:val="24"/>
      <w:szCs w:val="20"/>
    </w:rPr>
  </w:style>
  <w:style w:type="paragraph" w:customStyle="1" w:styleId="145">
    <w:name w:val="Char Char Char1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46">
    <w:name w:val="Char Char Char1 Char1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47">
    <w:name w:val="Char Char Char1 Char10"/>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48">
    <w:name w:val="样式 样式 首行缩进:  2 字符 + 字符缩放: 100%"/>
    <w:basedOn w:val="107"/>
    <w:qFormat/>
    <w:uiPriority w:val="0"/>
    <w:pPr>
      <w:spacing w:line="360" w:lineRule="auto"/>
      <w:ind w:firstLine="480"/>
    </w:pPr>
    <w:rPr>
      <w:sz w:val="24"/>
    </w:rPr>
  </w:style>
  <w:style w:type="paragraph" w:customStyle="1" w:styleId="149">
    <w:name w:val="样式 行距: 固定值 17 磅"/>
    <w:basedOn w:val="1"/>
    <w:qFormat/>
    <w:uiPriority w:val="0"/>
    <w:pPr>
      <w:spacing w:line="500" w:lineRule="exact"/>
      <w:ind w:firstLine="472" w:firstLineChars="200"/>
    </w:pPr>
    <w:rPr>
      <w:spacing w:val="-2"/>
      <w:sz w:val="24"/>
    </w:rPr>
  </w:style>
  <w:style w:type="character" w:customStyle="1" w:styleId="150">
    <w:name w:val="表格标题＋单位 Char Char"/>
    <w:link w:val="151"/>
    <w:qFormat/>
    <w:uiPriority w:val="0"/>
    <w:rPr>
      <w:b/>
      <w:szCs w:val="24"/>
    </w:rPr>
  </w:style>
  <w:style w:type="paragraph" w:customStyle="1" w:styleId="151">
    <w:name w:val="表格标题＋单位"/>
    <w:basedOn w:val="1"/>
    <w:link w:val="150"/>
    <w:qFormat/>
    <w:uiPriority w:val="0"/>
    <w:pPr>
      <w:wordWrap w:val="0"/>
      <w:jc w:val="center"/>
    </w:pPr>
    <w:rPr>
      <w:rFonts w:asciiTheme="minorHAnsi" w:hAnsiTheme="minorHAnsi" w:eastAsiaTheme="minorEastAsia" w:cstheme="minorBidi"/>
      <w:b/>
    </w:rPr>
  </w:style>
  <w:style w:type="character" w:customStyle="1" w:styleId="152">
    <w:name w:val="表格内容 Char"/>
    <w:link w:val="153"/>
    <w:qFormat/>
    <w:uiPriority w:val="0"/>
    <w:rPr>
      <w:rFonts w:hAnsi="宋体"/>
      <w:color w:val="000000"/>
      <w:szCs w:val="24"/>
    </w:rPr>
  </w:style>
  <w:style w:type="paragraph" w:customStyle="1" w:styleId="153">
    <w:name w:val="表格内容"/>
    <w:basedOn w:val="1"/>
    <w:next w:val="1"/>
    <w:link w:val="152"/>
    <w:qFormat/>
    <w:uiPriority w:val="0"/>
    <w:pPr>
      <w:tabs>
        <w:tab w:val="left" w:pos="1021"/>
      </w:tabs>
      <w:adjustRightInd w:val="0"/>
      <w:snapToGrid w:val="0"/>
      <w:jc w:val="center"/>
    </w:pPr>
    <w:rPr>
      <w:rFonts w:hAnsi="宋体" w:asciiTheme="minorHAnsi" w:eastAsiaTheme="minorEastAsia" w:cstheme="minorBidi"/>
      <w:color w:val="000000"/>
    </w:rPr>
  </w:style>
  <w:style w:type="character" w:customStyle="1" w:styleId="154">
    <w:name w:val="表格文字 Char Char"/>
    <w:link w:val="155"/>
    <w:qFormat/>
    <w:uiPriority w:val="0"/>
    <w:rPr>
      <w:rFonts w:ascii="仿宋_GB2312" w:eastAsia="仿宋_GB2312"/>
      <w:kern w:val="44"/>
      <w:sz w:val="24"/>
    </w:rPr>
  </w:style>
  <w:style w:type="paragraph" w:customStyle="1" w:styleId="155">
    <w:name w:val="表格文字"/>
    <w:basedOn w:val="32"/>
    <w:link w:val="154"/>
    <w:qFormat/>
    <w:uiPriority w:val="0"/>
    <w:pPr>
      <w:spacing w:line="360" w:lineRule="auto"/>
      <w:jc w:val="center"/>
    </w:pPr>
    <w:rPr>
      <w:rFonts w:ascii="仿宋_GB2312" w:eastAsia="仿宋_GB2312" w:hAnsiTheme="minorHAnsi" w:cstheme="minorBidi"/>
      <w:kern w:val="44"/>
      <w:sz w:val="24"/>
      <w:szCs w:val="22"/>
    </w:rPr>
  </w:style>
  <w:style w:type="paragraph" w:customStyle="1" w:styleId="156">
    <w:name w:val="Char Char Char1 Char9"/>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57">
    <w:name w:val="Char Char Char1 Char8"/>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58">
    <w:name w:val="Char Char Char1 Char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59">
    <w:name w:val="Char Char Char1 Char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60">
    <w:name w:val="Char Char Char1 Char5"/>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61">
    <w:name w:val="表头 Char Char Char"/>
    <w:qFormat/>
    <w:uiPriority w:val="0"/>
    <w:rPr>
      <w:rFonts w:hAnsi="Calibri" w:eastAsia="宋体"/>
      <w:b/>
      <w:sz w:val="20"/>
    </w:rPr>
  </w:style>
  <w:style w:type="paragraph" w:customStyle="1" w:styleId="162">
    <w:name w:val="Char Char Char1 Char4"/>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63">
    <w:name w:val="表头 Char1"/>
    <w:qFormat/>
    <w:uiPriority w:val="0"/>
    <w:rPr>
      <w:rFonts w:ascii="Arial Unicode MS" w:hAnsi="Arial Unicode MS" w:eastAsia="宋体"/>
      <w:b/>
      <w:bCs/>
      <w:kern w:val="2"/>
      <w:sz w:val="28"/>
      <w:szCs w:val="30"/>
    </w:rPr>
  </w:style>
  <w:style w:type="paragraph" w:customStyle="1" w:styleId="164">
    <w:name w:val="Char Char Char1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65">
    <w:name w:val="Char Char Char1 Char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66">
    <w:name w:val="Char Char Char1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67">
    <w:name w:val="1"/>
    <w:basedOn w:val="1"/>
    <w:next w:val="95"/>
    <w:qFormat/>
    <w:uiPriority w:val="34"/>
    <w:pPr>
      <w:ind w:firstLine="420" w:firstLineChars="200"/>
    </w:pPr>
    <w:rPr>
      <w:rFonts w:ascii="Calibri" w:hAnsi="Calibri"/>
      <w:sz w:val="28"/>
      <w:szCs w:val="22"/>
    </w:rPr>
  </w:style>
  <w:style w:type="paragraph" w:customStyle="1" w:styleId="168">
    <w:name w:val="Char Char Char1 Char1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69">
    <w:name w:val="Char Char Char1 Char1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0">
    <w:name w:val="Char Char Char1 Char1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1">
    <w:name w:val="Char Char Char1 Char15"/>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2">
    <w:name w:val="Char Char Char1 Char1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3">
    <w:name w:val="Char Char Char1 Char1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4">
    <w:name w:val="Char Char Char1 Char18"/>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5">
    <w:name w:val="Char Char Char1 Char19"/>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6">
    <w:name w:val="Char Char Char1 Char20"/>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7">
    <w:name w:val="Char Char Char1 Char2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8">
    <w:name w:val="Char Char Char1 Char2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9">
    <w:name w:val="Char Char Char1 Char2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0">
    <w:name w:val="Char Char Char1 Char2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1">
    <w:name w:val="Char Char Char1 Char2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2">
    <w:name w:val="Char Char Char1 Char25"/>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83">
    <w:name w:val="font31"/>
    <w:basedOn w:val="37"/>
    <w:qFormat/>
    <w:uiPriority w:val="0"/>
    <w:rPr>
      <w:rFonts w:hint="default" w:ascii="Times New Roman" w:hAnsi="Times New Roman" w:cs="Times New Roman"/>
      <w:color w:val="FF0000"/>
      <w:sz w:val="21"/>
      <w:szCs w:val="21"/>
      <w:u w:val="none"/>
      <w:vertAlign w:val="superscript"/>
    </w:rPr>
  </w:style>
  <w:style w:type="paragraph" w:customStyle="1" w:styleId="184">
    <w:name w:val="font6"/>
    <w:basedOn w:val="1"/>
    <w:qFormat/>
    <w:uiPriority w:val="0"/>
    <w:pPr>
      <w:widowControl/>
      <w:spacing w:before="100" w:beforeAutospacing="1" w:after="100" w:afterAutospacing="1"/>
      <w:jc w:val="left"/>
    </w:pPr>
    <w:rPr>
      <w:rFonts w:ascii="仿宋_GB2312" w:hAnsi="宋体" w:eastAsia="仿宋_GB2312" w:cs="宋体"/>
      <w:kern w:val="0"/>
      <w:szCs w:val="21"/>
    </w:rPr>
  </w:style>
  <w:style w:type="paragraph" w:customStyle="1" w:styleId="185">
    <w:name w:val="font7"/>
    <w:basedOn w:val="1"/>
    <w:qFormat/>
    <w:uiPriority w:val="0"/>
    <w:pPr>
      <w:widowControl/>
      <w:spacing w:before="100" w:beforeAutospacing="1" w:after="100" w:afterAutospacing="1"/>
      <w:jc w:val="left"/>
    </w:pPr>
    <w:rPr>
      <w:kern w:val="0"/>
      <w:szCs w:val="21"/>
    </w:rPr>
  </w:style>
  <w:style w:type="paragraph" w:customStyle="1" w:styleId="186">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7">
    <w:name w:val="font9"/>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188">
    <w:name w:val="font10"/>
    <w:basedOn w:val="1"/>
    <w:qFormat/>
    <w:uiPriority w:val="0"/>
    <w:pPr>
      <w:widowControl/>
      <w:spacing w:before="100" w:beforeAutospacing="1" w:after="100" w:afterAutospacing="1"/>
      <w:jc w:val="left"/>
    </w:pPr>
    <w:rPr>
      <w:color w:val="000000"/>
      <w:kern w:val="0"/>
      <w:sz w:val="14"/>
      <w:szCs w:val="14"/>
    </w:rPr>
  </w:style>
  <w:style w:type="paragraph" w:customStyle="1" w:styleId="189">
    <w:name w:val="font1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0">
    <w:name w:val="font13"/>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91">
    <w:name w:val="font14"/>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92">
    <w:name w:val="xl60"/>
    <w:basedOn w:val="1"/>
    <w:qFormat/>
    <w:uiPriority w:val="0"/>
    <w:pPr>
      <w:widowControl/>
      <w:spacing w:before="100" w:beforeAutospacing="1" w:after="100" w:afterAutospacing="1"/>
      <w:jc w:val="left"/>
    </w:pPr>
    <w:rPr>
      <w:kern w:val="0"/>
      <w:szCs w:val="21"/>
    </w:rPr>
  </w:style>
  <w:style w:type="paragraph" w:customStyle="1" w:styleId="19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Cs w:val="21"/>
    </w:rPr>
  </w:style>
  <w:style w:type="paragraph" w:customStyle="1" w:styleId="194">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1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197">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Cs w:val="21"/>
    </w:rPr>
  </w:style>
  <w:style w:type="paragraph" w:customStyle="1" w:styleId="198">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9">
    <w:name w:val="xl73"/>
    <w:basedOn w:val="1"/>
    <w:qFormat/>
    <w:uiPriority w:val="0"/>
    <w:pPr>
      <w:widowControl/>
      <w:spacing w:before="100" w:beforeAutospacing="1" w:after="100" w:afterAutospacing="1"/>
      <w:jc w:val="left"/>
    </w:pPr>
    <w:rPr>
      <w:kern w:val="0"/>
      <w:sz w:val="18"/>
      <w:szCs w:val="18"/>
    </w:rPr>
  </w:style>
  <w:style w:type="paragraph" w:customStyle="1" w:styleId="200">
    <w:name w:val="xl74"/>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0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FF0000"/>
      <w:kern w:val="0"/>
      <w:szCs w:val="21"/>
    </w:rPr>
  </w:style>
  <w:style w:type="paragraph" w:customStyle="1" w:styleId="2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color w:val="FF0000"/>
      <w:kern w:val="0"/>
      <w:szCs w:val="21"/>
    </w:rPr>
  </w:style>
  <w:style w:type="paragraph" w:customStyle="1" w:styleId="20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kern w:val="0"/>
      <w:szCs w:val="21"/>
    </w:rPr>
  </w:style>
  <w:style w:type="paragraph" w:customStyle="1" w:styleId="20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FF0000"/>
      <w:kern w:val="0"/>
      <w:szCs w:val="21"/>
    </w:rPr>
  </w:style>
  <w:style w:type="paragraph" w:customStyle="1" w:styleId="205">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kern w:val="0"/>
      <w:sz w:val="24"/>
    </w:rPr>
  </w:style>
  <w:style w:type="paragraph" w:customStyle="1" w:styleId="20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0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rPr>
  </w:style>
  <w:style w:type="paragraph" w:customStyle="1" w:styleId="208">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20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21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FF0000"/>
      <w:kern w:val="0"/>
      <w:szCs w:val="21"/>
    </w:rPr>
  </w:style>
  <w:style w:type="character" w:customStyle="1" w:styleId="211">
    <w:name w:val="UserStyle_0"/>
    <w:qFormat/>
    <w:uiPriority w:val="0"/>
    <w:rPr>
      <w:rFonts w:ascii="Times New Roman" w:hAnsi="Times New Roman" w:eastAsia="宋体"/>
      <w:kern w:val="2"/>
      <w:sz w:val="21"/>
      <w:szCs w:val="22"/>
      <w:lang w:val="en-US" w:eastAsia="zh-CN" w:bidi="ar-SA"/>
    </w:rPr>
  </w:style>
  <w:style w:type="paragraph" w:customStyle="1" w:styleId="212">
    <w:name w:val="BodyText"/>
    <w:basedOn w:val="1"/>
    <w:next w:val="1"/>
    <w:qFormat/>
    <w:uiPriority w:val="0"/>
    <w:pPr>
      <w:widowControl/>
      <w:spacing w:line="450" w:lineRule="exact"/>
      <w:jc w:val="center"/>
      <w:textAlignment w:val="baseline"/>
    </w:pPr>
    <w:rPr>
      <w:sz w:val="24"/>
    </w:rPr>
  </w:style>
  <w:style w:type="character" w:customStyle="1" w:styleId="213">
    <w:name w:val="正文（首行缩进两字） Char"/>
    <w:link w:val="214"/>
    <w:qFormat/>
    <w:uiPriority w:val="0"/>
    <w:rPr>
      <w:szCs w:val="21"/>
    </w:rPr>
  </w:style>
  <w:style w:type="paragraph" w:customStyle="1" w:styleId="214">
    <w:name w:val="正文（首行缩进两字）"/>
    <w:basedOn w:val="1"/>
    <w:link w:val="213"/>
    <w:qFormat/>
    <w:uiPriority w:val="0"/>
    <w:rPr>
      <w:rFonts w:asciiTheme="minorHAnsi" w:hAnsiTheme="minorHAnsi" w:eastAsiaTheme="minorEastAsia" w:cstheme="minorBidi"/>
      <w:szCs w:val="21"/>
    </w:rPr>
  </w:style>
  <w:style w:type="paragraph" w:customStyle="1" w:styleId="215">
    <w:name w:val="Char Char Char1 Char2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1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Cs w:val="21"/>
    </w:rPr>
  </w:style>
  <w:style w:type="paragraph" w:customStyle="1" w:styleId="21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Cs w:val="21"/>
    </w:rPr>
  </w:style>
  <w:style w:type="paragraph" w:customStyle="1" w:styleId="218">
    <w:name w:val="xl87"/>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19">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Cs w:val="21"/>
    </w:rPr>
  </w:style>
  <w:style w:type="paragraph" w:customStyle="1" w:styleId="220">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1"/>
    </w:rPr>
  </w:style>
  <w:style w:type="paragraph" w:customStyle="1" w:styleId="221">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Cs w:val="21"/>
    </w:rPr>
  </w:style>
  <w:style w:type="paragraph" w:customStyle="1" w:styleId="222">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Cs w:val="21"/>
    </w:rPr>
  </w:style>
  <w:style w:type="paragraph" w:customStyle="1" w:styleId="223">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b/>
      <w:bCs/>
      <w:color w:val="FF0000"/>
      <w:kern w:val="0"/>
      <w:szCs w:val="21"/>
    </w:rPr>
  </w:style>
  <w:style w:type="paragraph" w:customStyle="1" w:styleId="22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 w:val="18"/>
      <w:szCs w:val="18"/>
    </w:rPr>
  </w:style>
  <w:style w:type="paragraph" w:customStyle="1" w:styleId="22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22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1"/>
    </w:rPr>
  </w:style>
  <w:style w:type="paragraph" w:customStyle="1" w:styleId="227">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228">
    <w:name w:val="xl9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229">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230">
    <w:name w:val="xl9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231">
    <w:name w:val="xl10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232">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233">
    <w:name w:val="xl10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234">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235">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236">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237">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000000"/>
      <w:kern w:val="0"/>
      <w:szCs w:val="21"/>
    </w:rPr>
  </w:style>
  <w:style w:type="paragraph" w:customStyle="1" w:styleId="23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kern w:val="0"/>
      <w:sz w:val="20"/>
      <w:szCs w:val="20"/>
    </w:rPr>
  </w:style>
  <w:style w:type="paragraph" w:customStyle="1" w:styleId="239">
    <w:name w:val="表内容"/>
    <w:basedOn w:val="1"/>
    <w:qFormat/>
    <w:uiPriority w:val="0"/>
    <w:pPr>
      <w:autoSpaceDE w:val="0"/>
      <w:autoSpaceDN w:val="0"/>
      <w:adjustRightInd w:val="0"/>
      <w:spacing w:before="100" w:beforeAutospacing="1"/>
      <w:jc w:val="center"/>
    </w:pPr>
    <w:rPr>
      <w:rFonts w:ascii="仿宋_GB2312" w:eastAsia="仿宋_GB2312" w:cs="宋体"/>
      <w:color w:val="000000"/>
      <w:kern w:val="0"/>
      <w:szCs w:val="21"/>
    </w:rPr>
  </w:style>
  <w:style w:type="paragraph" w:customStyle="1" w:styleId="240">
    <w:name w:val="图名表名"/>
    <w:basedOn w:val="1"/>
    <w:qFormat/>
    <w:uiPriority w:val="0"/>
    <w:pPr>
      <w:spacing w:beforeLines="50" w:line="360" w:lineRule="auto"/>
      <w:jc w:val="center"/>
    </w:pPr>
    <w:rPr>
      <w:rFonts w:ascii="宋体" w:hAnsi="宋体" w:cs="宋体"/>
      <w:b/>
      <w:bCs/>
      <w:szCs w:val="21"/>
    </w:rPr>
  </w:style>
  <w:style w:type="paragraph" w:customStyle="1" w:styleId="241">
    <w:name w:val="_Style 157"/>
    <w:basedOn w:val="11"/>
    <w:next w:val="33"/>
    <w:qFormat/>
    <w:uiPriority w:val="99"/>
    <w:pPr>
      <w:ind w:firstLine="420" w:firstLineChars="200"/>
    </w:pPr>
    <w:rPr>
      <w:rFonts w:asciiTheme="minorHAnsi" w:hAnsiTheme="minorHAnsi" w:cstheme="minorBidi"/>
      <w:szCs w:val="22"/>
    </w:rPr>
  </w:style>
  <w:style w:type="paragraph" w:customStyle="1" w:styleId="242">
    <w:name w:val="样式4"/>
    <w:basedOn w:val="1"/>
    <w:qFormat/>
    <w:uiPriority w:val="0"/>
    <w:pPr>
      <w:spacing w:line="360" w:lineRule="auto"/>
    </w:pPr>
    <w:rPr>
      <w:rFonts w:ascii="宋体" w:hAnsi="宋体" w:cstheme="minorBidi"/>
      <w:b/>
      <w:color w:val="000000"/>
      <w:sz w:val="24"/>
    </w:rPr>
  </w:style>
  <w:style w:type="character" w:customStyle="1" w:styleId="243">
    <w:name w:val="font61"/>
    <w:basedOn w:val="37"/>
    <w:qFormat/>
    <w:uiPriority w:val="0"/>
    <w:rPr>
      <w:rFonts w:hint="eastAsia" w:ascii="宋体" w:hAnsi="宋体" w:eastAsia="宋体" w:cs="宋体"/>
      <w:color w:val="000000"/>
      <w:sz w:val="22"/>
      <w:szCs w:val="22"/>
      <w:u w:val="none"/>
      <w:vertAlign w:val="superscript"/>
    </w:rPr>
  </w:style>
  <w:style w:type="character" w:customStyle="1" w:styleId="244">
    <w:name w:val="font01"/>
    <w:basedOn w:val="37"/>
    <w:qFormat/>
    <w:uiPriority w:val="0"/>
    <w:rPr>
      <w:rFonts w:hint="eastAsia" w:ascii="微软雅黑" w:hAnsi="微软雅黑" w:eastAsia="微软雅黑" w:cs="微软雅黑"/>
      <w:color w:val="000000"/>
      <w:sz w:val="20"/>
      <w:szCs w:val="20"/>
      <w:u w:val="none"/>
      <w:vertAlign w:val="superscript"/>
    </w:rPr>
  </w:style>
  <w:style w:type="character" w:customStyle="1" w:styleId="245">
    <w:name w:val="font51"/>
    <w:basedOn w:val="37"/>
    <w:qFormat/>
    <w:uiPriority w:val="0"/>
    <w:rPr>
      <w:rFonts w:hint="eastAsia" w:ascii="微软雅黑" w:hAnsi="微软雅黑" w:eastAsia="微软雅黑" w:cs="微软雅黑"/>
      <w:color w:val="000000"/>
      <w:sz w:val="20"/>
      <w:szCs w:val="20"/>
      <w:u w:val="none"/>
    </w:rPr>
  </w:style>
  <w:style w:type="character" w:customStyle="1" w:styleId="246">
    <w:name w:val="font41"/>
    <w:basedOn w:val="37"/>
    <w:qFormat/>
    <w:uiPriority w:val="0"/>
    <w:rPr>
      <w:rFonts w:hint="eastAsia" w:ascii="宋体" w:hAnsi="宋体" w:eastAsia="宋体" w:cs="宋体"/>
      <w:color w:val="000000"/>
      <w:sz w:val="21"/>
      <w:szCs w:val="21"/>
      <w:u w:val="none"/>
      <w:vertAlign w:val="superscript"/>
    </w:rPr>
  </w:style>
  <w:style w:type="character" w:customStyle="1" w:styleId="247">
    <w:name w:val="font81"/>
    <w:basedOn w:val="37"/>
    <w:qFormat/>
    <w:uiPriority w:val="0"/>
    <w:rPr>
      <w:rFonts w:hint="eastAsia" w:ascii="宋体" w:hAnsi="宋体" w:eastAsia="宋体" w:cs="宋体"/>
      <w:color w:val="000000"/>
      <w:sz w:val="22"/>
      <w:szCs w:val="22"/>
      <w:u w:val="none"/>
      <w:vertAlign w:val="superscript"/>
    </w:rPr>
  </w:style>
  <w:style w:type="character" w:customStyle="1" w:styleId="248">
    <w:name w:val="font91"/>
    <w:basedOn w:val="37"/>
    <w:qFormat/>
    <w:uiPriority w:val="0"/>
    <w:rPr>
      <w:rFonts w:hint="eastAsia" w:ascii="宋体" w:hAnsi="宋体" w:eastAsia="宋体" w:cs="宋体"/>
      <w:color w:val="FF0000"/>
      <w:sz w:val="22"/>
      <w:szCs w:val="22"/>
      <w:u w:val="none"/>
      <w:vertAlign w:val="superscript"/>
    </w:rPr>
  </w:style>
  <w:style w:type="character" w:customStyle="1" w:styleId="249">
    <w:name w:val="font71"/>
    <w:basedOn w:val="37"/>
    <w:qFormat/>
    <w:uiPriority w:val="0"/>
    <w:rPr>
      <w:rFonts w:hint="eastAsia" w:ascii="宋体" w:hAnsi="宋体" w:eastAsia="宋体" w:cs="宋体"/>
      <w:color w:val="000000"/>
      <w:sz w:val="21"/>
      <w:szCs w:val="21"/>
      <w:u w:val="none"/>
      <w:vertAlign w:val="superscript"/>
    </w:rPr>
  </w:style>
  <w:style w:type="character" w:customStyle="1" w:styleId="250">
    <w:name w:val="font21"/>
    <w:basedOn w:val="37"/>
    <w:qFormat/>
    <w:uiPriority w:val="0"/>
    <w:rPr>
      <w:rFonts w:hint="eastAsia" w:ascii="宋体" w:hAnsi="宋体" w:eastAsia="宋体" w:cs="宋体"/>
      <w:color w:val="000000"/>
      <w:sz w:val="21"/>
      <w:szCs w:val="21"/>
      <w:u w:val="none"/>
      <w:vertAlign w:val="superscript"/>
    </w:rPr>
  </w:style>
  <w:style w:type="paragraph" w:customStyle="1" w:styleId="251">
    <w:name w:val="样式1"/>
    <w:basedOn w:val="1"/>
    <w:qFormat/>
    <w:uiPriority w:val="0"/>
    <w:pPr>
      <w:spacing w:line="360" w:lineRule="auto"/>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footer" Target="footer4.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41.GIF"/><Relationship Id="rId66" Type="http://schemas.openxmlformats.org/officeDocument/2006/relationships/image" Target="media/image40.jpeg"/><Relationship Id="rId65" Type="http://schemas.openxmlformats.org/officeDocument/2006/relationships/image" Target="media/image39.GIF"/><Relationship Id="rId64" Type="http://schemas.openxmlformats.org/officeDocument/2006/relationships/image" Target="media/image38.GIF"/><Relationship Id="rId63" Type="http://schemas.openxmlformats.org/officeDocument/2006/relationships/image" Target="media/image37.GIF"/><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3.xml"/><Relationship Id="rId59" Type="http://schemas.openxmlformats.org/officeDocument/2006/relationships/image" Target="media/image33.wmf"/><Relationship Id="rId58" Type="http://schemas.openxmlformats.org/officeDocument/2006/relationships/oleObject" Target="embeddings/oleObject3.bin"/><Relationship Id="rId57" Type="http://schemas.openxmlformats.org/officeDocument/2006/relationships/image" Target="media/image32.wmf"/><Relationship Id="rId56" Type="http://schemas.openxmlformats.org/officeDocument/2006/relationships/oleObject" Target="embeddings/oleObject2.bin"/><Relationship Id="rId55" Type="http://schemas.openxmlformats.org/officeDocument/2006/relationships/image" Target="media/image31.wmf"/><Relationship Id="rId54" Type="http://schemas.openxmlformats.org/officeDocument/2006/relationships/oleObject" Target="embeddings/oleObject1.bin"/><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footer" Target="footer2.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4"/>
    <customShpInfo spid="_x0000_s1033"/>
    <customShpInfo spid="_x0000_s1032"/>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08A2E-AB84-4345-8160-33D1001054E5}">
  <ds:schemaRefs/>
</ds:datastoreItem>
</file>

<file path=docProps/app.xml><?xml version="1.0" encoding="utf-8"?>
<Properties xmlns="http://schemas.openxmlformats.org/officeDocument/2006/extended-properties" xmlns:vt="http://schemas.openxmlformats.org/officeDocument/2006/docPropsVTypes">
  <Template>Normal</Template>
  <Pages>90</Pages>
  <Words>48381</Words>
  <Characters>60312</Characters>
  <Lines>502</Lines>
  <Paragraphs>141</Paragraphs>
  <TotalTime>1</TotalTime>
  <ScaleCrop>false</ScaleCrop>
  <LinksUpToDate>false</LinksUpToDate>
  <CharactersWithSpaces>61482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2023-03-12T14:20:00Z</dcterms:created>
  <dc:creator>Administrator</dc:creator>
  <cp:lastModifiedBy>Administrator</cp:lastModifiedBy>
  <cp:lastPrinted>2023-03-29T11:11:00Z</cp:lastPrinted>
  <dcterms:modified xsi:type="dcterms:W3CDTF">2023-04-21T08:15:45Z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75FE166E286A4C7B8ED0ABA158F88A1F</vt:lpwstr>
  </property>
</Properties>
</file>