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68591">
      <w:pPr>
        <w:pStyle w:val="16"/>
        <w:keepNext w:val="0"/>
        <w:keepLines w:val="0"/>
        <w:pageBreakBefore w:val="0"/>
        <w:widowControl w:val="0"/>
        <w:numPr>
          <w:ilvl w:val="1"/>
          <w:numId w:val="0"/>
        </w:numPr>
        <w:tabs>
          <w:tab w:val="clear" w:pos="312"/>
        </w:tabs>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w:t>
      </w:r>
      <w:r>
        <w:rPr>
          <w:rFonts w:hint="eastAsia" w:ascii="Times New Roman" w:hAnsi="Times New Roman" w:eastAsia="方正小标宋简体" w:cs="Times New Roman"/>
          <w:color w:val="auto"/>
          <w:kern w:val="2"/>
          <w:sz w:val="44"/>
          <w:szCs w:val="44"/>
          <w:lang w:val="en-US" w:eastAsia="zh-CN" w:bidi="ar-SA"/>
        </w:rPr>
        <w:t>益阳市中心城区HS09、DB01单元</w:t>
      </w:r>
    </w:p>
    <w:p w14:paraId="1F6788D8">
      <w:pPr>
        <w:pStyle w:val="16"/>
        <w:keepNext w:val="0"/>
        <w:keepLines w:val="0"/>
        <w:pageBreakBefore w:val="0"/>
        <w:widowControl w:val="0"/>
        <w:numPr>
          <w:ilvl w:val="1"/>
          <w:numId w:val="0"/>
        </w:numPr>
        <w:tabs>
          <w:tab w:val="clear" w:pos="312"/>
        </w:tabs>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s="Times New Roman"/>
          <w:color w:val="auto"/>
          <w:kern w:val="2"/>
          <w:sz w:val="44"/>
          <w:szCs w:val="44"/>
          <w:lang w:val="en-US" w:eastAsia="zh-CN" w:bidi="ar-SA"/>
        </w:rPr>
      </w:pPr>
      <w:r>
        <w:rPr>
          <w:rFonts w:hint="eastAsia" w:ascii="Times New Roman" w:hAnsi="Times New Roman" w:eastAsia="方正小标宋简体" w:cs="Times New Roman"/>
          <w:color w:val="auto"/>
          <w:kern w:val="2"/>
          <w:sz w:val="44"/>
          <w:szCs w:val="44"/>
          <w:lang w:val="en-US" w:eastAsia="zh-CN" w:bidi="ar-SA"/>
        </w:rPr>
        <w:t>详细规划</w:t>
      </w:r>
      <w:r>
        <w:rPr>
          <w:rFonts w:hint="default" w:ascii="Times New Roman" w:hAnsi="Times New Roman" w:eastAsia="方正小标宋简体" w:cs="Times New Roman"/>
          <w:color w:val="auto"/>
          <w:kern w:val="2"/>
          <w:sz w:val="44"/>
          <w:szCs w:val="44"/>
          <w:lang w:val="en-US" w:eastAsia="zh-CN" w:bidi="ar-SA"/>
        </w:rPr>
        <w:t>》</w:t>
      </w:r>
      <w:r>
        <w:rPr>
          <w:rFonts w:hint="eastAsia" w:ascii="Times New Roman" w:hAnsi="Times New Roman" w:eastAsia="方正小标宋简体" w:cs="Times New Roman"/>
          <w:color w:val="auto"/>
          <w:kern w:val="2"/>
          <w:sz w:val="44"/>
          <w:szCs w:val="44"/>
          <w:lang w:val="en-US" w:eastAsia="zh-CN" w:bidi="ar-SA"/>
        </w:rPr>
        <w:t>简要说明</w:t>
      </w:r>
    </w:p>
    <w:p w14:paraId="5F617DDD">
      <w:pPr>
        <w:pStyle w:val="2"/>
        <w:rPr>
          <w:rFonts w:hint="eastAsia"/>
          <w:lang w:val="en-US" w:eastAsia="zh-CN"/>
        </w:rPr>
      </w:pPr>
    </w:p>
    <w:p w14:paraId="2E392E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黑体"/>
          <w:color w:val="000000"/>
          <w:kern w:val="0"/>
          <w:sz w:val="32"/>
          <w:szCs w:val="32"/>
          <w:highlight w:val="none"/>
        </w:rPr>
      </w:pPr>
      <w:r>
        <w:rPr>
          <w:rFonts w:hint="eastAsia" w:eastAsia="黑体" w:asciiTheme="minorHAnsi" w:hAnsiTheme="minorHAnsi" w:cstheme="minorBidi"/>
          <w:color w:val="000000"/>
          <w:kern w:val="0"/>
          <w:sz w:val="32"/>
          <w:szCs w:val="32"/>
          <w:lang w:val="en-US" w:eastAsia="zh-CN" w:bidi="ar-SA"/>
        </w:rPr>
        <w:t>一、</w:t>
      </w:r>
      <w:r>
        <w:rPr>
          <w:rFonts w:hint="eastAsia" w:eastAsia="黑体"/>
          <w:color w:val="000000"/>
          <w:kern w:val="0"/>
          <w:sz w:val="32"/>
          <w:szCs w:val="32"/>
          <w:highlight w:val="none"/>
        </w:rPr>
        <w:t>编制依据</w:t>
      </w:r>
    </w:p>
    <w:p w14:paraId="5F537B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本次规划主要依据《中华人民共和国城乡规划法》《中华人民共和国土地管理法》《自然资源部关于加强国土空间详细规划工作的通知》（自然资发〔2023〕43号）《益阳市国土空间总体规划（2021-2035年）》《益阳市城市规划管理技术规定(2019年修订)》益阳市各专项规划以及其它相关法律、法规及行业规范标准编制而成。</w:t>
      </w:r>
    </w:p>
    <w:p w14:paraId="528A2D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黑体"/>
          <w:color w:val="000000"/>
          <w:kern w:val="0"/>
          <w:sz w:val="32"/>
          <w:szCs w:val="32"/>
          <w:highlight w:val="none"/>
        </w:rPr>
      </w:pPr>
      <w:r>
        <w:rPr>
          <w:rFonts w:hint="eastAsia" w:eastAsia="黑体" w:asciiTheme="minorHAnsi" w:hAnsiTheme="minorHAnsi" w:cstheme="minorBidi"/>
          <w:color w:val="000000"/>
          <w:kern w:val="0"/>
          <w:sz w:val="32"/>
          <w:szCs w:val="32"/>
          <w:lang w:val="en-US" w:eastAsia="zh-CN" w:bidi="ar-SA"/>
        </w:rPr>
        <w:t>二、</w:t>
      </w:r>
      <w:r>
        <w:rPr>
          <w:rFonts w:hint="eastAsia" w:eastAsia="黑体"/>
          <w:color w:val="000000"/>
          <w:kern w:val="0"/>
          <w:sz w:val="32"/>
          <w:szCs w:val="32"/>
          <w:highlight w:val="none"/>
        </w:rPr>
        <w:t>编制基本情况</w:t>
      </w:r>
    </w:p>
    <w:p w14:paraId="2BF242C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kern w:val="0"/>
          <w:sz w:val="32"/>
          <w:szCs w:val="32"/>
          <w:highlight w:val="none"/>
        </w:rPr>
      </w:pPr>
      <w:r>
        <w:rPr>
          <w:rFonts w:hint="eastAsia" w:ascii="仿宋" w:hAnsi="仿宋" w:eastAsia="仿宋" w:cs="仿宋"/>
          <w:b/>
          <w:bCs/>
          <w:color w:val="000000"/>
          <w:kern w:val="0"/>
          <w:sz w:val="32"/>
          <w:szCs w:val="32"/>
          <w:highlight w:val="none"/>
        </w:rPr>
        <w:t>1.规划范围</w:t>
      </w:r>
    </w:p>
    <w:p w14:paraId="5326F4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HS09单元西至蓉园路，东至319国道，北至迎宾东路，南至关山路。规划总用地面积725.82公顷，其中城镇开发边界内用地686.34公顷，城镇开发边界外用地39.48公顷。涉及龙岭产业开发区园区边界及四至范围231.93公顷。</w:t>
      </w:r>
    </w:p>
    <w:p w14:paraId="567B84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DB01单元西至银城大道，东至奎星村，北至砂子岭村、兴泉村，南至石新桥村、兴泉村。规划总用地面积508.98公顷，其中城镇开发边界内用地375.13公顷，城镇开发边界外用地133.85公顷。涉及园区边界及四至范围线188.03公顷。</w:t>
      </w:r>
    </w:p>
    <w:p w14:paraId="3B16383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kern w:val="0"/>
          <w:sz w:val="32"/>
          <w:szCs w:val="32"/>
          <w:highlight w:val="none"/>
        </w:rPr>
      </w:pPr>
      <w:r>
        <w:rPr>
          <w:rFonts w:hint="eastAsia" w:ascii="仿宋" w:hAnsi="仿宋" w:eastAsia="仿宋" w:cs="仿宋"/>
          <w:b/>
          <w:bCs/>
          <w:color w:val="000000"/>
          <w:kern w:val="0"/>
          <w:sz w:val="32"/>
          <w:szCs w:val="32"/>
          <w:highlight w:val="none"/>
        </w:rPr>
        <w:t>2.规划目标</w:t>
      </w:r>
    </w:p>
    <w:p w14:paraId="1EE170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HS09单元建设“五好园区”，统筹空间发展，以城市为基础，承载产业空间和发展产业经济，以产业为保障驱动城市建设和完善服务配套，达到产城融合的发展目标。</w:t>
      </w:r>
    </w:p>
    <w:p w14:paraId="4E96BF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DB01单元规划建设生态友好的绿色园区，围绕新材料产业、家居建材产业、食品康养产业，实现建成复合型产业功能区域的发展目标。</w:t>
      </w:r>
    </w:p>
    <w:p w14:paraId="3711F44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kern w:val="0"/>
          <w:sz w:val="32"/>
          <w:szCs w:val="32"/>
          <w:highlight w:val="none"/>
        </w:rPr>
      </w:pPr>
      <w:r>
        <w:rPr>
          <w:rFonts w:hint="eastAsia" w:ascii="仿宋" w:hAnsi="仿宋" w:eastAsia="仿宋" w:cs="仿宋"/>
          <w:b/>
          <w:bCs/>
          <w:color w:val="000000"/>
          <w:kern w:val="0"/>
          <w:sz w:val="32"/>
          <w:szCs w:val="32"/>
          <w:highlight w:val="none"/>
        </w:rPr>
        <w:t>3.功能定位</w:t>
      </w:r>
    </w:p>
    <w:p w14:paraId="7AF918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HS09单元功能定位为益阳市“城景交融+品质宜居+产城融合”示范，龙岭产业开发区智慧创新、总部经济核心区。</w:t>
      </w:r>
    </w:p>
    <w:p w14:paraId="4AC4EE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Times New Roman"/>
          <w:highlight w:val="none"/>
        </w:rPr>
      </w:pPr>
      <w:r>
        <w:rPr>
          <w:rFonts w:hint="eastAsia" w:ascii="仿宋" w:hAnsi="仿宋" w:eastAsia="仿宋" w:cs="仿宋"/>
          <w:color w:val="000000"/>
          <w:sz w:val="32"/>
          <w:szCs w:val="32"/>
          <w:highlight w:val="none"/>
        </w:rPr>
        <w:t>DB01单元功能定位为益阳市产业与生态康养有机融合，产城一体、宜业宜居的创新综合产业区。</w:t>
      </w:r>
    </w:p>
    <w:p w14:paraId="19484D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黑体"/>
          <w:color w:val="000000"/>
          <w:kern w:val="0"/>
          <w:sz w:val="32"/>
          <w:szCs w:val="32"/>
          <w:highlight w:val="none"/>
        </w:rPr>
      </w:pPr>
      <w:r>
        <w:rPr>
          <w:rFonts w:hint="eastAsia" w:eastAsia="黑体" w:asciiTheme="minorHAnsi" w:hAnsiTheme="minorHAnsi" w:cstheme="minorBidi"/>
          <w:color w:val="000000"/>
          <w:kern w:val="0"/>
          <w:sz w:val="32"/>
          <w:szCs w:val="32"/>
          <w:lang w:val="en-US" w:eastAsia="zh-CN" w:bidi="ar-SA"/>
        </w:rPr>
        <w:t>三、</w:t>
      </w:r>
      <w:r>
        <w:rPr>
          <w:rFonts w:hint="eastAsia" w:eastAsia="黑体"/>
          <w:color w:val="000000"/>
          <w:kern w:val="0"/>
          <w:sz w:val="32"/>
          <w:szCs w:val="32"/>
          <w:highlight w:val="none"/>
        </w:rPr>
        <w:t>主要内容</w:t>
      </w:r>
    </w:p>
    <w:p w14:paraId="1B1D7BB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kern w:val="0"/>
          <w:sz w:val="32"/>
          <w:szCs w:val="32"/>
          <w:highlight w:val="none"/>
        </w:rPr>
      </w:pPr>
      <w:r>
        <w:rPr>
          <w:rFonts w:hint="eastAsia" w:ascii="仿宋" w:hAnsi="仿宋" w:eastAsia="仿宋" w:cs="仿宋"/>
          <w:b/>
          <w:bCs/>
          <w:color w:val="000000"/>
          <w:kern w:val="0"/>
          <w:sz w:val="32"/>
          <w:szCs w:val="32"/>
          <w:highlight w:val="none"/>
        </w:rPr>
        <w:t>1.</w:t>
      </w:r>
      <w:r>
        <w:rPr>
          <w:rFonts w:hint="eastAsia" w:ascii="仿宋" w:hAnsi="仿宋" w:eastAsia="仿宋" w:cs="仿宋"/>
          <w:b/>
          <w:bCs/>
          <w:color w:val="000000"/>
          <w:kern w:val="0"/>
          <w:sz w:val="32"/>
          <w:szCs w:val="32"/>
          <w:highlight w:val="none"/>
          <w:lang w:val="en-US" w:eastAsia="zh-CN"/>
        </w:rPr>
        <w:t>空间</w:t>
      </w:r>
      <w:r>
        <w:rPr>
          <w:rFonts w:hint="eastAsia" w:ascii="仿宋" w:hAnsi="仿宋" w:eastAsia="仿宋" w:cs="仿宋"/>
          <w:b/>
          <w:bCs/>
          <w:color w:val="000000"/>
          <w:kern w:val="0"/>
          <w:sz w:val="32"/>
          <w:szCs w:val="32"/>
          <w:highlight w:val="none"/>
        </w:rPr>
        <w:t>结构</w:t>
      </w:r>
    </w:p>
    <w:p w14:paraId="4E94CF92">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HS09单元</w:t>
      </w:r>
    </w:p>
    <w:p w14:paraId="35618E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规划形成“一纵一横四组团”空间结构。</w:t>
      </w:r>
    </w:p>
    <w:p w14:paraId="1E4AE8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一纵：沿春嘉路打造产城融合轴；</w:t>
      </w:r>
    </w:p>
    <w:p w14:paraId="512AC0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一横：沿清溪河打造宜居生态轴；</w:t>
      </w:r>
    </w:p>
    <w:p w14:paraId="71E331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四组团：梅林路以北基于海吉星及钢材市场打造商工综合组团，梅林路至永福路打造综合宜居组团，永福路至工业大道打造产城融合组团，工业大道至关山路打造高端产业组团。</w:t>
      </w:r>
    </w:p>
    <w:p w14:paraId="63929AD0">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DB01单元</w:t>
      </w:r>
    </w:p>
    <w:p w14:paraId="6A4FCA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规划形成“一轴两心三组团”空间结构。</w:t>
      </w:r>
    </w:p>
    <w:p w14:paraId="161050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一轴：依托沧泉大道形成工业产业发展轴线；</w:t>
      </w:r>
    </w:p>
    <w:p w14:paraId="630399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两心：形成两个综合服务中心，位于沧泉大道和常益长高速交汇处、沧泉大道和开创大道交汇处；</w:t>
      </w:r>
    </w:p>
    <w:p w14:paraId="44C717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default"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lang w:val="en-US" w:eastAsia="zh-CN"/>
        </w:rPr>
        <w:t>三组团</w:t>
      </w:r>
      <w:r>
        <w:rPr>
          <w:rFonts w:hint="default"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lang w:val="en-US" w:eastAsia="zh-CN"/>
        </w:rPr>
        <w:t xml:space="preserve">：依托雪花湾路、常益长高速及沧泉大道划分形成食品、新材料产业组团、康养创新社区组团和家居产业组团。 </w:t>
      </w:r>
    </w:p>
    <w:p w14:paraId="1B37304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kern w:val="0"/>
          <w:sz w:val="32"/>
          <w:szCs w:val="32"/>
          <w:highlight w:val="none"/>
        </w:rPr>
      </w:pPr>
      <w:bookmarkStart w:id="0" w:name="_GoBack"/>
      <w:bookmarkEnd w:id="0"/>
      <w:r>
        <w:rPr>
          <w:rFonts w:hint="eastAsia" w:ascii="仿宋" w:hAnsi="仿宋" w:eastAsia="仿宋" w:cs="仿宋"/>
          <w:b/>
          <w:bCs/>
          <w:color w:val="000000"/>
          <w:kern w:val="0"/>
          <w:sz w:val="32"/>
          <w:szCs w:val="32"/>
          <w:highlight w:val="none"/>
          <w:lang w:val="en-US" w:eastAsia="zh-CN"/>
        </w:rPr>
        <w:t>2.</w:t>
      </w:r>
      <w:r>
        <w:rPr>
          <w:rFonts w:hint="eastAsia" w:ascii="仿宋" w:hAnsi="仿宋" w:eastAsia="仿宋" w:cs="仿宋"/>
          <w:b/>
          <w:bCs/>
          <w:color w:val="000000"/>
          <w:kern w:val="0"/>
          <w:sz w:val="32"/>
          <w:szCs w:val="32"/>
          <w:highlight w:val="none"/>
        </w:rPr>
        <w:t>用地布局</w:t>
      </w:r>
    </w:p>
    <w:p w14:paraId="7AD573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详细规划整体的用地布局基本符合国土空间总体规划。城镇开发边界内，充分保障工业企业用地布局，并配套落实市政公用设施及其防护要求。居住用地和公共管理与服务设施用地集中在环境良好的雪花湾路以东和沧泉大道东北侧。</w:t>
      </w:r>
    </w:p>
    <w:p w14:paraId="09C5C36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3.道路交通</w:t>
      </w:r>
    </w:p>
    <w:p w14:paraId="6A7970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HS09单元规划保留对外交通G319（桃花仑东路）和G536（关山路）。规划形成“五横两纵”的路网骨架。五横为迎宾东路、梅林路、永福路、工业大道及关山路；两纵为蓉园路及桃花仑东路。</w:t>
      </w:r>
    </w:p>
    <w:p w14:paraId="235084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DB01单元规划形成“两横四纵”的路网骨架。两横为沧泉大道、高新大道；四纵为银城大道、园山路、雪花湾路、开创大道。</w:t>
      </w:r>
    </w:p>
    <w:p w14:paraId="00292A9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4.公服设施</w:t>
      </w:r>
    </w:p>
    <w:p w14:paraId="46A578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HS09单元规划形成“市级-15分钟-10分钟”生活圈公共服务设施体系，确定1个15分钟生活圈、2个10分钟生活圈。</w:t>
      </w:r>
    </w:p>
    <w:p w14:paraId="460DED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DB01单元本次规划构建“10分钟-5分钟”生活圈公共服务设施体系，DB01单元公共管理与公共服务设施用地面积1.44公顷。</w:t>
      </w:r>
    </w:p>
    <w:p w14:paraId="58F44EA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5.地块开发控制引导</w:t>
      </w:r>
    </w:p>
    <w:p w14:paraId="759943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容积率小于1.1，主要为仓储用地、交通运输用地、公用设施用地、绿地与开敞空间用地和部分现状工业用地。容积率不低于1.1且小于1.8，主要为城镇住宅用地、工业用地和仓储用地。容积率不低于1.8且小于3.5，主要为城镇住宅用地、商业用地。</w:t>
      </w:r>
    </w:p>
    <w:p w14:paraId="54B531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工业用地建筑高度控制为38米；对生产工艺有特殊要求的根据实际需求确定，并由自然资源主管部门审批后建设。居住用地建筑高度控制为18</w:t>
      </w:r>
      <w:r>
        <w:rPr>
          <w:rFonts w:ascii="仿宋" w:hAnsi="仿宋" w:eastAsia="仿宋" w:cs="仿宋"/>
          <w:color w:val="000000"/>
          <w:sz w:val="32"/>
          <w:szCs w:val="32"/>
          <w:highlight w:val="none"/>
        </w:rPr>
        <w:t>-</w:t>
      </w:r>
      <w:r>
        <w:rPr>
          <w:rFonts w:hint="eastAsia" w:ascii="仿宋" w:hAnsi="仿宋" w:eastAsia="仿宋" w:cs="仿宋"/>
          <w:color w:val="000000"/>
          <w:sz w:val="32"/>
          <w:szCs w:val="32"/>
          <w:highlight w:val="none"/>
        </w:rPr>
        <w:t>80</w:t>
      </w:r>
      <w:r>
        <w:rPr>
          <w:rFonts w:ascii="仿宋" w:hAnsi="仿宋" w:eastAsia="仿宋" w:cs="仿宋"/>
          <w:color w:val="000000"/>
          <w:sz w:val="32"/>
          <w:szCs w:val="32"/>
          <w:highlight w:val="none"/>
        </w:rPr>
        <w:t>米；商业服务业用地建筑高度控制为</w:t>
      </w:r>
      <w:r>
        <w:rPr>
          <w:rFonts w:hint="eastAsia" w:ascii="仿宋" w:hAnsi="仿宋" w:eastAsia="仿宋" w:cs="仿宋"/>
          <w:color w:val="000000"/>
          <w:sz w:val="32"/>
          <w:szCs w:val="32"/>
          <w:highlight w:val="none"/>
        </w:rPr>
        <w:t>54</w:t>
      </w:r>
      <w:r>
        <w:rPr>
          <w:rFonts w:ascii="仿宋" w:hAnsi="仿宋" w:eastAsia="仿宋" w:cs="仿宋"/>
          <w:color w:val="000000"/>
          <w:sz w:val="32"/>
          <w:szCs w:val="32"/>
          <w:highlight w:val="none"/>
        </w:rPr>
        <w:t>米；</w:t>
      </w:r>
      <w:r>
        <w:rPr>
          <w:rFonts w:hint="eastAsia" w:ascii="仿宋" w:hAnsi="仿宋" w:eastAsia="仿宋" w:cs="仿宋"/>
          <w:color w:val="000000"/>
          <w:sz w:val="32"/>
          <w:szCs w:val="32"/>
          <w:highlight w:val="none"/>
        </w:rPr>
        <w:t>新增</w:t>
      </w:r>
      <w:r>
        <w:rPr>
          <w:rFonts w:ascii="仿宋" w:hAnsi="仿宋" w:eastAsia="仿宋" w:cs="仿宋"/>
          <w:color w:val="000000"/>
          <w:sz w:val="32"/>
          <w:szCs w:val="32"/>
          <w:highlight w:val="none"/>
        </w:rPr>
        <w:t>公共管理与公共服务设施用地建筑高度控制为</w:t>
      </w:r>
      <w:r>
        <w:rPr>
          <w:rFonts w:hint="eastAsia" w:ascii="仿宋" w:hAnsi="仿宋" w:eastAsia="仿宋" w:cs="仿宋"/>
          <w:color w:val="000000"/>
          <w:sz w:val="32"/>
          <w:szCs w:val="32"/>
          <w:highlight w:val="none"/>
        </w:rPr>
        <w:t>27米</w:t>
      </w:r>
      <w:r>
        <w:rPr>
          <w:rFonts w:ascii="仿宋" w:hAnsi="仿宋" w:eastAsia="仿宋" w:cs="仿宋"/>
          <w:color w:val="000000"/>
          <w:sz w:val="32"/>
          <w:szCs w:val="32"/>
          <w:highlight w:val="none"/>
        </w:rPr>
        <w:t>；交通运输用地、公用设施用地建筑高度不进行控制，按实际需要建设。</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3C2891-DD73-4A22-9DDB-E707C0F10E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B9B8DF2-9869-4102-A6DE-8E4AC8BB1547}"/>
  </w:font>
  <w:font w:name="方正小标宋简体">
    <w:panose1 w:val="02000000000000000000"/>
    <w:charset w:val="86"/>
    <w:family w:val="auto"/>
    <w:pitch w:val="default"/>
    <w:sig w:usb0="00000001" w:usb1="08000000" w:usb2="00000000" w:usb3="00000000" w:csb0="00040000" w:csb1="00000000"/>
    <w:embedRegular r:id="rId3" w:fontKey="{7BB6CDE7-E616-41FF-B532-A96C938C35F6}"/>
  </w:font>
  <w:font w:name="仿宋">
    <w:panose1 w:val="02010609060101010101"/>
    <w:charset w:val="86"/>
    <w:family w:val="modern"/>
    <w:pitch w:val="default"/>
    <w:sig w:usb0="800002BF" w:usb1="38CF7CFA" w:usb2="00000016" w:usb3="00000000" w:csb0="00040001" w:csb1="00000000"/>
    <w:embedRegular r:id="rId4" w:fontKey="{6D659DD6-0754-4BCA-9BF3-5D31F021CE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6FCB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E1431">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AE1431">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FE40F"/>
    <w:multiLevelType w:val="multilevel"/>
    <w:tmpl w:val="992FE40F"/>
    <w:lvl w:ilvl="0" w:tentative="0">
      <w:start w:val="1"/>
      <w:numFmt w:val="decimal"/>
      <w:pStyle w:val="4"/>
      <w:lvlText w:val="第%1章 "/>
      <w:lvlJc w:val="left"/>
      <w:pPr>
        <w:tabs>
          <w:tab w:val="left" w:pos="3119"/>
        </w:tabs>
        <w:ind w:left="3119" w:firstLine="0"/>
      </w:pPr>
      <w:rPr>
        <w:rFonts w:hint="eastAsia" w:ascii="黑体" w:hAnsi="黑体" w:eastAsia="黑体"/>
      </w:rPr>
    </w:lvl>
    <w:lvl w:ilvl="1" w:tentative="0">
      <w:start w:val="1"/>
      <w:numFmt w:val="decimal"/>
      <w:lvlRestart w:val="0"/>
      <w:pStyle w:val="5"/>
      <w:lvlText w:val="第%2条 "/>
      <w:lvlJc w:val="left"/>
      <w:pPr>
        <w:tabs>
          <w:tab w:val="left" w:pos="142"/>
        </w:tabs>
        <w:ind w:left="142" w:firstLine="0"/>
      </w:pPr>
      <w:rPr>
        <w:rFonts w:hint="eastAsia" w:ascii="黑体" w:hAnsi="黑体" w:eastAsia="黑体" w:cs="黑体"/>
      </w:rPr>
    </w:lvl>
    <w:lvl w:ilvl="2" w:tentative="0">
      <w:start w:val="1"/>
      <w:numFmt w:val="decimal"/>
      <w:pStyle w:val="6"/>
      <w:lvlText w:val="%3. "/>
      <w:lvlJc w:val="left"/>
      <w:pPr>
        <w:tabs>
          <w:tab w:val="left" w:pos="-2836"/>
        </w:tabs>
        <w:ind w:left="-2836" w:firstLine="0"/>
      </w:pPr>
      <w:rPr>
        <w:rFonts w:hint="eastAsia" w:ascii="宋体" w:hAnsi="宋体" w:eastAsia="宋体" w:cs="宋体"/>
      </w:rPr>
    </w:lvl>
    <w:lvl w:ilvl="3" w:tentative="0">
      <w:start w:val="1"/>
      <w:numFmt w:val="decimal"/>
      <w:pStyle w:val="7"/>
      <w:lvlText w:val="%3.%4 "/>
      <w:lvlJc w:val="left"/>
      <w:pPr>
        <w:tabs>
          <w:tab w:val="left" w:pos="-2836"/>
        </w:tabs>
        <w:ind w:left="-2836" w:firstLine="0"/>
      </w:pPr>
      <w:rPr>
        <w:rFonts w:hint="eastAsia" w:ascii="宋体" w:hAnsi="宋体" w:eastAsia="宋体" w:cs="宋体"/>
      </w:rPr>
    </w:lvl>
    <w:lvl w:ilvl="4" w:tentative="0">
      <w:start w:val="1"/>
      <w:numFmt w:val="decimal"/>
      <w:pStyle w:val="8"/>
      <w:lvlText w:val="%3.%4.%5 "/>
      <w:lvlJc w:val="left"/>
      <w:pPr>
        <w:tabs>
          <w:tab w:val="left" w:pos="-2836"/>
        </w:tabs>
        <w:ind w:left="-2836" w:firstLine="0"/>
      </w:pPr>
      <w:rPr>
        <w:rFonts w:hint="eastAsia" w:ascii="宋体" w:hAnsi="宋体" w:eastAsia="宋体" w:cs="宋体"/>
      </w:rPr>
    </w:lvl>
    <w:lvl w:ilvl="5" w:tentative="0">
      <w:start w:val="1"/>
      <w:numFmt w:val="decimal"/>
      <w:lvlText w:val="%1.%2.%3.%4.%5.%6."/>
      <w:lvlJc w:val="left"/>
      <w:pPr>
        <w:ind w:left="-1702" w:hanging="1134"/>
      </w:pPr>
      <w:rPr>
        <w:rFonts w:hint="eastAsia"/>
      </w:rPr>
    </w:lvl>
    <w:lvl w:ilvl="6" w:tentative="0">
      <w:start w:val="1"/>
      <w:numFmt w:val="decimal"/>
      <w:lvlText w:val="%1.%2.%3.%4.%5.%6.%7."/>
      <w:lvlJc w:val="left"/>
      <w:pPr>
        <w:ind w:left="-1561"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278" w:hanging="1558"/>
      </w:pPr>
      <w:rPr>
        <w:rFonts w:hint="eastAsia"/>
      </w:rPr>
    </w:lvl>
  </w:abstractNum>
  <w:abstractNum w:abstractNumId="1">
    <w:nsid w:val="9F0DD7DC"/>
    <w:multiLevelType w:val="singleLevel"/>
    <w:tmpl w:val="9F0DD7DC"/>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NDE0OTk2NDA5ZDU4Y2MwZjk1YjRkZWUyNjM0NDMifQ=="/>
  </w:docVars>
  <w:rsids>
    <w:rsidRoot w:val="00601E1C"/>
    <w:rsid w:val="002834E4"/>
    <w:rsid w:val="00601E1C"/>
    <w:rsid w:val="00BA44A9"/>
    <w:rsid w:val="00F0692E"/>
    <w:rsid w:val="05DA204E"/>
    <w:rsid w:val="07BC2DB9"/>
    <w:rsid w:val="0D3C23D8"/>
    <w:rsid w:val="110A1ED6"/>
    <w:rsid w:val="1D6416CF"/>
    <w:rsid w:val="2383244E"/>
    <w:rsid w:val="35295019"/>
    <w:rsid w:val="39EE2148"/>
    <w:rsid w:val="4071640F"/>
    <w:rsid w:val="418736CE"/>
    <w:rsid w:val="43B61E3D"/>
    <w:rsid w:val="4436451B"/>
    <w:rsid w:val="49935F6C"/>
    <w:rsid w:val="4B894E4A"/>
    <w:rsid w:val="4ECC7F56"/>
    <w:rsid w:val="4F231B40"/>
    <w:rsid w:val="503E6C32"/>
    <w:rsid w:val="69106E41"/>
    <w:rsid w:val="6A73601A"/>
    <w:rsid w:val="6FC44FF0"/>
    <w:rsid w:val="73FC5BE6"/>
    <w:rsid w:val="775841CD"/>
    <w:rsid w:val="78E21FA1"/>
    <w:rsid w:val="79002D6F"/>
    <w:rsid w:val="7AEA6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5">
    <w:name w:val="heading 2"/>
    <w:basedOn w:val="1"/>
    <w:next w:val="1"/>
    <w:link w:val="13"/>
    <w:semiHidden/>
    <w:unhideWhenUsed/>
    <w:qFormat/>
    <w:uiPriority w:val="0"/>
    <w:pPr>
      <w:keepNext/>
      <w:keepLines/>
      <w:numPr>
        <w:ilvl w:val="1"/>
        <w:numId w:val="1"/>
      </w:numPr>
      <w:tabs>
        <w:tab w:val="clear" w:pos="142"/>
      </w:tabs>
      <w:outlineLvl w:val="1"/>
    </w:pPr>
    <w:rPr>
      <w:rFonts w:ascii="黑体" w:hAnsi="黑体" w:eastAsia="黑体"/>
      <w:b/>
      <w:sz w:val="32"/>
      <w:szCs w:val="30"/>
    </w:rPr>
  </w:style>
  <w:style w:type="paragraph" w:styleId="6">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7">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99"/>
    <w:pPr>
      <w:spacing w:after="120"/>
      <w:ind w:left="420" w:leftChars="200"/>
    </w:pPr>
  </w:style>
  <w:style w:type="paragraph" w:styleId="9">
    <w:name w:val="footer"/>
    <w:basedOn w:val="1"/>
    <w:link w:val="15"/>
    <w:qFormat/>
    <w:uiPriority w:val="0"/>
    <w:pPr>
      <w:tabs>
        <w:tab w:val="center" w:pos="4153"/>
        <w:tab w:val="right" w:pos="8306"/>
      </w:tabs>
      <w:snapToGrid w:val="0"/>
      <w:jc w:val="left"/>
    </w:pPr>
    <w:rPr>
      <w:sz w:val="18"/>
      <w:szCs w:val="18"/>
    </w:rPr>
  </w:style>
  <w:style w:type="paragraph" w:styleId="10">
    <w:name w:val="header"/>
    <w:basedOn w:val="1"/>
    <w:link w:val="14"/>
    <w:qFormat/>
    <w:uiPriority w:val="0"/>
    <w:pPr>
      <w:tabs>
        <w:tab w:val="center" w:pos="4153"/>
        <w:tab w:val="right" w:pos="8306"/>
      </w:tabs>
      <w:snapToGrid w:val="0"/>
      <w:jc w:val="center"/>
    </w:pPr>
    <w:rPr>
      <w:sz w:val="18"/>
      <w:szCs w:val="18"/>
    </w:rPr>
  </w:style>
  <w:style w:type="character" w:customStyle="1" w:styleId="13">
    <w:name w:val="标题 2 字符"/>
    <w:basedOn w:val="12"/>
    <w:link w:val="5"/>
    <w:autoRedefine/>
    <w:qFormat/>
    <w:uiPriority w:val="9"/>
    <w:rPr>
      <w:rFonts w:ascii="黑体" w:hAnsi="黑体" w:eastAsia="黑体"/>
      <w:b/>
      <w:sz w:val="32"/>
      <w:szCs w:val="30"/>
    </w:rPr>
  </w:style>
  <w:style w:type="character" w:customStyle="1" w:styleId="14">
    <w:name w:val="页眉 字符"/>
    <w:basedOn w:val="12"/>
    <w:link w:val="10"/>
    <w:qFormat/>
    <w:uiPriority w:val="0"/>
    <w:rPr>
      <w:kern w:val="2"/>
      <w:sz w:val="18"/>
      <w:szCs w:val="18"/>
    </w:rPr>
  </w:style>
  <w:style w:type="character" w:customStyle="1" w:styleId="15">
    <w:name w:val="页脚 字符"/>
    <w:basedOn w:val="12"/>
    <w:link w:val="9"/>
    <w:qFormat/>
    <w:uiPriority w:val="0"/>
    <w:rPr>
      <w:kern w:val="2"/>
      <w:sz w:val="18"/>
      <w:szCs w:val="18"/>
    </w:rPr>
  </w:style>
  <w:style w:type="paragraph" w:customStyle="1" w:styleId="16">
    <w:name w:val="样式9"/>
    <w:basedOn w:val="1"/>
    <w:qFormat/>
    <w:uiPriority w:val="0"/>
    <w:pPr>
      <w:tabs>
        <w:tab w:val="left" w:pos="312"/>
        <w:tab w:val="left" w:pos="575"/>
      </w:tabs>
    </w:pPr>
    <w:rPr>
      <w:rFonts w:ascii="Calibri" w:hAnsi="Calibri" w:eastAsia="宋体" w:cs="Times New Roman"/>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1419</Words>
  <Characters>1560</Characters>
  <Lines>11</Lines>
  <Paragraphs>3</Paragraphs>
  <TotalTime>3</TotalTime>
  <ScaleCrop>false</ScaleCrop>
  <LinksUpToDate>false</LinksUpToDate>
  <CharactersWithSpaces>1560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2024-01-29T07:26:00Z</dcterms:created>
  <dc:creator>Dell</dc:creator>
  <cp:lastModifiedBy>123</cp:lastModifiedBy>
  <dcterms:modified xsi:type="dcterms:W3CDTF">2024-07-03T08:55:16Z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F5E3E2B827C043C18021DD5CBE399EC1_12</vt:lpwstr>
  </property>
</Properties>
</file>