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6B2719">
      <w:pPr>
        <w:spacing w:line="560" w:lineRule="exact"/>
        <w:ind w:firstLine="0" w:firstLineChars="0"/>
        <w:jc w:val="center"/>
        <w:rPr>
          <w:rFonts w:hint="default" w:ascii="仿宋" w:hAnsi="仿宋" w:eastAsia="仿宋" w:cs="Times New Roman"/>
          <w:b/>
          <w:sz w:val="44"/>
          <w:szCs w:val="44"/>
          <w:lang w:val="en-US" w:eastAsia="zh-CN"/>
        </w:rPr>
      </w:pPr>
      <w:r>
        <w:rPr>
          <w:rFonts w:hint="default" w:ascii="仿宋" w:hAnsi="仿宋" w:eastAsia="仿宋" w:cs="Times New Roman"/>
          <w:b/>
          <w:sz w:val="44"/>
          <w:szCs w:val="44"/>
          <w:lang w:val="en-US" w:eastAsia="zh-CN"/>
        </w:rPr>
        <w:t>学府花园一期1#栋规划建筑方案调整</w:t>
      </w:r>
    </w:p>
    <w:p w14:paraId="0D82FC87">
      <w:pPr>
        <w:spacing w:line="560" w:lineRule="exact"/>
        <w:ind w:firstLine="0" w:firstLineChars="0"/>
        <w:jc w:val="center"/>
        <w:rPr>
          <w:rFonts w:hint="default" w:ascii="仿宋" w:hAnsi="仿宋" w:eastAsia="仿宋" w:cs="Times New Roman"/>
          <w:b/>
          <w:sz w:val="44"/>
          <w:szCs w:val="44"/>
          <w:lang w:val="en-US" w:eastAsia="zh-CN"/>
        </w:rPr>
      </w:pPr>
      <w:r>
        <w:rPr>
          <w:rFonts w:hint="default" w:ascii="仿宋" w:hAnsi="仿宋" w:eastAsia="仿宋" w:cs="Times New Roman"/>
          <w:b/>
          <w:sz w:val="44"/>
          <w:szCs w:val="44"/>
          <w:lang w:val="en-US" w:eastAsia="zh-CN"/>
        </w:rPr>
        <w:t>公示</w:t>
      </w:r>
    </w:p>
    <w:p w14:paraId="166199B2">
      <w:pPr>
        <w:rPr>
          <w:rFonts w:hint="default"/>
          <w:lang w:val="en-US" w:eastAsia="zh-CN"/>
        </w:rPr>
      </w:pPr>
    </w:p>
    <w:p w14:paraId="57E9896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由益阳金旅运通房地产开发有限公司开发建设</w:t>
      </w:r>
      <w:r>
        <w:rPr>
          <w:rFonts w:hint="eastAsia" w:ascii="仿宋" w:hAnsi="仿宋" w:eastAsia="仿宋" w:cs="仿宋"/>
          <w:color w:val="auto"/>
          <w:sz w:val="32"/>
          <w:szCs w:val="32"/>
          <w:lang w:val="en-US" w:eastAsia="zh-CN"/>
        </w:rPr>
        <w:t>的</w:t>
      </w:r>
      <w:r>
        <w:rPr>
          <w:rFonts w:hint="default" w:ascii="仿宋" w:hAnsi="仿宋" w:eastAsia="仿宋" w:cs="仿宋"/>
          <w:color w:val="auto"/>
          <w:sz w:val="32"/>
          <w:szCs w:val="32"/>
          <w:lang w:val="en-US" w:eastAsia="zh-CN"/>
        </w:rPr>
        <w:t>学府花园项目，规划设计方案首次经2007年益阳市城乡规划委员会第6次会议审查通过，分二期建设。其中，一期最后批准规划设计方案是经直属二分局2022年第13期</w:t>
      </w:r>
      <w:r>
        <w:rPr>
          <w:rFonts w:hint="eastAsia" w:ascii="仿宋" w:hAnsi="仿宋" w:cs="仿宋"/>
          <w:color w:val="auto"/>
          <w:sz w:val="32"/>
          <w:szCs w:val="32"/>
          <w:lang w:val="en-US" w:eastAsia="zh-CN"/>
        </w:rPr>
        <w:t>例会</w:t>
      </w:r>
      <w:r>
        <w:rPr>
          <w:rFonts w:hint="default" w:ascii="仿宋" w:hAnsi="仿宋" w:eastAsia="仿宋" w:cs="仿宋"/>
          <w:color w:val="auto"/>
          <w:sz w:val="32"/>
          <w:szCs w:val="32"/>
          <w:lang w:val="en-US" w:eastAsia="zh-CN"/>
        </w:rPr>
        <w:t>审定</w:t>
      </w:r>
      <w:r>
        <w:rPr>
          <w:rFonts w:hint="eastAsia" w:ascii="仿宋" w:hAnsi="仿宋" w:eastAsia="仿宋" w:cs="仿宋"/>
          <w:color w:val="auto"/>
          <w:sz w:val="32"/>
          <w:szCs w:val="32"/>
          <w:lang w:val="en-US" w:eastAsia="zh-CN"/>
        </w:rPr>
        <w:t>通过</w:t>
      </w:r>
      <w:r>
        <w:rPr>
          <w:rFonts w:hint="default" w:ascii="仿宋" w:hAnsi="仿宋" w:eastAsia="仿宋" w:cs="仿宋"/>
          <w:color w:val="auto"/>
          <w:sz w:val="32"/>
          <w:szCs w:val="32"/>
          <w:lang w:val="en-US" w:eastAsia="zh-CN"/>
        </w:rPr>
        <w:t>，目前除1#栋尚未建设外，其它楼栋均已完成竣</w:t>
      </w:r>
      <w:bookmarkStart w:id="0" w:name="_GoBack"/>
      <w:bookmarkEnd w:id="0"/>
      <w:r>
        <w:rPr>
          <w:rFonts w:hint="default" w:ascii="仿宋" w:hAnsi="仿宋" w:eastAsia="仿宋" w:cs="仿宋"/>
          <w:color w:val="auto"/>
          <w:sz w:val="32"/>
          <w:szCs w:val="32"/>
          <w:lang w:val="en-US" w:eastAsia="zh-CN"/>
        </w:rPr>
        <w:t>工验收。因市场变化，该项目存量住宅、商铺均去化困难，益阳金旅运通房地产开发有限公司现申请将一期1#栋由原规划的</w:t>
      </w:r>
      <w:r>
        <w:rPr>
          <w:rFonts w:hint="eastAsia" w:ascii="仿宋" w:hAnsi="仿宋" w:eastAsia="仿宋" w:cs="仿宋"/>
          <w:color w:val="auto"/>
          <w:sz w:val="32"/>
          <w:szCs w:val="32"/>
          <w:lang w:val="en-US" w:eastAsia="zh-CN"/>
        </w:rPr>
        <w:t>22</w:t>
      </w:r>
      <w:r>
        <w:rPr>
          <w:rFonts w:hint="default" w:ascii="仿宋" w:hAnsi="仿宋" w:eastAsia="仿宋" w:cs="仿宋"/>
          <w:color w:val="auto"/>
          <w:sz w:val="32"/>
          <w:szCs w:val="32"/>
          <w:lang w:val="en-US" w:eastAsia="zh-CN"/>
        </w:rPr>
        <w:t>F商住楼调整为5F商业办公楼。具体内容如下：</w:t>
      </w:r>
    </w:p>
    <w:p w14:paraId="6E4F925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1）建筑性质调整：由原22层商住楼调整为地上五层、地下一层的商业办公楼（建筑高度22.5m）。调整后1#栋总建筑面积为6410㎡，计容建筑面积4516㎡。较原方案商业计容建筑面积增加3815.22㎡，住宅建筑面积减少15937.28㎡。</w:t>
      </w:r>
    </w:p>
    <w:p w14:paraId="2D3132E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（2）布局方案调整：场地主出入口位于用地东北角，与小区共用迎宾路出入口。内部道路宽7m，满足消防需求。建筑采用东西向一字形布局，平行于迎宾路。增设</w:t>
      </w:r>
      <w:r>
        <w:rPr>
          <w:rFonts w:hint="eastAsia" w:ascii="仿宋" w:hAnsi="仿宋" w:cs="仿宋"/>
          <w:color w:val="auto"/>
          <w:sz w:val="32"/>
          <w:szCs w:val="32"/>
          <w:lang w:val="en-US" w:eastAsia="zh-CN"/>
        </w:rPr>
        <w:t>地下</w:t>
      </w:r>
      <w:r>
        <w:rPr>
          <w:rFonts w:hint="default" w:ascii="仿宋" w:hAnsi="仿宋" w:eastAsia="仿宋" w:cs="仿宋"/>
          <w:color w:val="auto"/>
          <w:sz w:val="32"/>
          <w:szCs w:val="32"/>
          <w:lang w:val="en-US" w:eastAsia="zh-CN"/>
        </w:rPr>
        <w:t>机动车停车位</w:t>
      </w:r>
      <w:r>
        <w:rPr>
          <w:rFonts w:hint="eastAsia" w:ascii="仿宋" w:hAnsi="仿宋" w:cs="仿宋"/>
          <w:color w:val="auto"/>
          <w:sz w:val="32"/>
          <w:szCs w:val="32"/>
          <w:lang w:val="en-US" w:eastAsia="zh-CN"/>
        </w:rPr>
        <w:t>44</w:t>
      </w:r>
      <w:r>
        <w:rPr>
          <w:rFonts w:hint="default" w:ascii="仿宋" w:hAnsi="仿宋" w:eastAsia="仿宋" w:cs="仿宋"/>
          <w:color w:val="auto"/>
          <w:sz w:val="32"/>
          <w:szCs w:val="32"/>
          <w:lang w:val="en-US" w:eastAsia="zh-CN"/>
        </w:rPr>
        <w:t>个</w:t>
      </w:r>
      <w:r>
        <w:rPr>
          <w:rFonts w:hint="eastAsia" w:ascii="仿宋" w:hAnsi="仿宋" w:cs="仿宋"/>
          <w:color w:val="auto"/>
          <w:sz w:val="32"/>
          <w:szCs w:val="32"/>
          <w:lang w:val="en-US" w:eastAsia="zh-CN"/>
        </w:rPr>
        <w:t>、</w:t>
      </w:r>
      <w:r>
        <w:rPr>
          <w:rFonts w:hint="default" w:ascii="仿宋" w:hAnsi="仿宋" w:eastAsia="仿宋" w:cs="仿宋"/>
          <w:color w:val="auto"/>
          <w:sz w:val="32"/>
          <w:szCs w:val="32"/>
          <w:lang w:val="en-US" w:eastAsia="zh-CN"/>
        </w:rPr>
        <w:t>非机动车停车位</w:t>
      </w:r>
      <w:r>
        <w:rPr>
          <w:rFonts w:hint="eastAsia" w:ascii="仿宋" w:hAnsi="仿宋" w:cs="仿宋"/>
          <w:color w:val="auto"/>
          <w:sz w:val="32"/>
          <w:szCs w:val="32"/>
          <w:lang w:val="en-US" w:eastAsia="zh-CN"/>
        </w:rPr>
        <w:t>90</w:t>
      </w:r>
      <w:r>
        <w:rPr>
          <w:rFonts w:hint="default" w:ascii="仿宋" w:hAnsi="仿宋" w:eastAsia="仿宋" w:cs="仿宋"/>
          <w:color w:val="auto"/>
          <w:sz w:val="32"/>
          <w:szCs w:val="32"/>
          <w:lang w:val="en-US" w:eastAsia="zh-CN"/>
        </w:rPr>
        <w:t>个。</w:t>
      </w:r>
    </w:p>
    <w:p w14:paraId="57C8627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（3）建筑效果：建筑立面采用规整的立面模数划分，增强整体性及稳重感，建筑材质以米白色干挂石材为主，结合灰色高端仿石漆，外窗采用深灰色铝合金框，深灰色玻璃，屋顶为不上人平屋顶。</w:t>
      </w:r>
    </w:p>
    <w:p w14:paraId="52FAFB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现将方案公示如下。根据《中华人民共和国城乡规划法》《中华人民共和国行政许可法》等法律法规的规定，为保障城市规划的合理性，维护相关利益人的合法权益，各相关利益人可在本公示之日起七个工作日内至益阳市自然资源和规划局直属二分局办公室（益阳市赫山区龙洲南路299号 益阳市自然资源和规划局14楼）了解方案情况或提出意见。</w:t>
      </w:r>
    </w:p>
    <w:p w14:paraId="2E10EC6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p>
    <w:p w14:paraId="131079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联系电话：0737-6789980</w:t>
      </w:r>
    </w:p>
    <w:p w14:paraId="3441D6B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p>
    <w:p w14:paraId="0B6AFD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color w:val="auto"/>
          <w:sz w:val="32"/>
          <w:szCs w:val="32"/>
          <w:lang w:val="en-US" w:eastAsia="zh-CN"/>
        </w:rPr>
      </w:pPr>
    </w:p>
    <w:p w14:paraId="5FDDE3C9">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40" w:firstLineChars="200"/>
        <w:jc w:val="right"/>
        <w:textAlignment w:val="auto"/>
        <w:rPr>
          <w:rFonts w:hint="default" w:ascii="仿宋" w:hAnsi="仿宋" w:eastAsia="仿宋" w:cs="仿宋"/>
          <w:color w:val="auto"/>
          <w:sz w:val="32"/>
          <w:szCs w:val="32"/>
          <w:lang w:val="en-US" w:eastAsia="zh-CN"/>
        </w:rPr>
      </w:pPr>
      <w:r>
        <w:rPr>
          <w:rFonts w:hint="default" w:ascii="仿宋" w:hAnsi="仿宋" w:eastAsia="仿宋" w:cs="仿宋"/>
          <w:color w:val="auto"/>
          <w:sz w:val="32"/>
          <w:szCs w:val="32"/>
          <w:lang w:val="en-US" w:eastAsia="zh-CN"/>
        </w:rPr>
        <w:t>益阳市自然资源和规划局</w:t>
      </w:r>
      <w:r>
        <w:rPr>
          <w:rFonts w:hint="eastAsia" w:ascii="仿宋" w:hAnsi="仿宋" w:cs="仿宋"/>
          <w:color w:val="auto"/>
          <w:sz w:val="32"/>
          <w:szCs w:val="32"/>
          <w:lang w:val="en-US" w:eastAsia="zh-CN"/>
        </w:rPr>
        <w:t xml:space="preserve">   </w:t>
      </w:r>
    </w:p>
    <w:sectPr>
      <w:pgSz w:w="11906" w:h="16838"/>
      <w:pgMar w:top="1701" w:right="1474" w:bottom="1701" w:left="1587" w:header="851" w:footer="992" w:gutter="0"/>
      <w:cols w:space="0" w:num="1"/>
      <w:rtlGutter w:val="0"/>
      <w:docGrid w:type="lines" w:linePitch="44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CC"/>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仿宋">
    <w:altName w:val="方正仿宋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FZXiaoBiaoSong-B05S">
    <w:panose1 w:val="02000000000000000000"/>
    <w:charset w:val="86"/>
    <w:family w:val="auto"/>
    <w:pitch w:val="default"/>
    <w:sig w:usb0="00000001" w:usb1="0800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楷体">
    <w:altName w:val="汉仪楷体KW"/>
    <w:panose1 w:val="00000000000000000000"/>
    <w:charset w:val="00"/>
    <w:family w:val="auto"/>
    <w:pitch w:val="default"/>
    <w:sig w:usb0="00000000" w:usb1="00000000" w:usb2="00000000" w:usb3="00000000" w:csb0="00000000" w:csb1="00000000"/>
  </w:font>
  <w:font w:name="汉仪楷体KW">
    <w:panose1 w:val="00020600040101010101"/>
    <w:charset w:val="86"/>
    <w:family w:val="auto"/>
    <w:pitch w:val="default"/>
    <w:sig w:usb0="A00002BF" w:usb1="18EF7CFA" w:usb2="00000016" w:usb3="00000000" w:csb0="00040000" w:csb1="00000000"/>
  </w:font>
  <w:font w:name="全真楷書">
    <w:altName w:val="汉仪楷体简"/>
    <w:panose1 w:val="00000000000000000000"/>
    <w:charset w:val="00"/>
    <w:family w:val="modern"/>
    <w:pitch w:val="default"/>
    <w:sig w:usb0="00000000" w:usb1="00000000" w:usb2="00000010" w:usb3="00000000" w:csb0="00100000" w:csb1="00000000"/>
  </w:font>
  <w:font w:name="汉仪楷体简">
    <w:panose1 w:val="02010600000101010101"/>
    <w:charset w:val="86"/>
    <w:family w:val="auto"/>
    <w:pitch w:val="default"/>
    <w:sig w:usb0="00000001" w:usb1="080E0800" w:usb2="00000002"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EFFE49F"/>
    <w:rsid w:val="375F888A"/>
    <w:rsid w:val="3DEF8693"/>
    <w:rsid w:val="3EAFBD55"/>
    <w:rsid w:val="3EFB4517"/>
    <w:rsid w:val="5FBFD6BC"/>
    <w:rsid w:val="66EA8C36"/>
    <w:rsid w:val="6B94A6DA"/>
    <w:rsid w:val="6FA71EDD"/>
    <w:rsid w:val="7D9E9388"/>
    <w:rsid w:val="7DBDE565"/>
    <w:rsid w:val="7FFE7682"/>
    <w:rsid w:val="93BA0446"/>
    <w:rsid w:val="B3F5FFCB"/>
    <w:rsid w:val="BEBF6AEF"/>
    <w:rsid w:val="CFEFA1AD"/>
    <w:rsid w:val="E75BFC10"/>
    <w:rsid w:val="E7F7F934"/>
    <w:rsid w:val="EB731D83"/>
    <w:rsid w:val="EFAFAAB5"/>
    <w:rsid w:val="EFDFCCFC"/>
    <w:rsid w:val="F67DB0DD"/>
    <w:rsid w:val="FCBF4CC0"/>
    <w:rsid w:val="FDDF30C8"/>
    <w:rsid w:val="FDEFD414"/>
    <w:rsid w:val="FEF425C0"/>
    <w:rsid w:val="FEFFE49F"/>
    <w:rsid w:val="FF2F1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420" w:firstLineChars="200"/>
      <w:jc w:val="both"/>
    </w:pPr>
    <w:rPr>
      <w:rFonts w:eastAsia="仿宋" w:asciiTheme="minorAscii" w:hAnsiTheme="minorAscii" w:cstheme="minorBidi"/>
      <w:kern w:val="2"/>
      <w:sz w:val="32"/>
      <w:szCs w:val="24"/>
      <w:lang w:val="en-US" w:eastAsia="zh-CN" w:bidi="ar-SA"/>
    </w:rPr>
  </w:style>
  <w:style w:type="paragraph" w:styleId="2">
    <w:name w:val="heading 1"/>
    <w:basedOn w:val="1"/>
    <w:next w:val="1"/>
    <w:qFormat/>
    <w:uiPriority w:val="0"/>
    <w:pPr>
      <w:keepNext/>
      <w:keepLines/>
      <w:spacing w:beforeLines="0" w:beforeAutospacing="0" w:afterLines="0" w:afterAutospacing="0" w:line="720" w:lineRule="exact"/>
      <w:ind w:firstLine="0" w:firstLineChars="0"/>
      <w:jc w:val="center"/>
      <w:outlineLvl w:val="0"/>
    </w:pPr>
    <w:rPr>
      <w:rFonts w:eastAsia="FZXiaoBiaoSong-B05S"/>
      <w:kern w:val="44"/>
      <w:sz w:val="44"/>
    </w:rPr>
  </w:style>
  <w:style w:type="paragraph" w:styleId="3">
    <w:name w:val="heading 2"/>
    <w:basedOn w:val="1"/>
    <w:next w:val="1"/>
    <w:semiHidden/>
    <w:unhideWhenUsed/>
    <w:qFormat/>
    <w:uiPriority w:val="0"/>
    <w:pPr>
      <w:keepNext/>
      <w:keepLines/>
      <w:spacing w:beforeLines="0" w:beforeAutospacing="0" w:afterLines="0" w:afterAutospacing="0" w:line="600" w:lineRule="exact"/>
      <w:outlineLvl w:val="1"/>
    </w:pPr>
    <w:rPr>
      <w:rFonts w:ascii="Arial" w:hAnsi="Arial" w:eastAsia="黑体"/>
    </w:rPr>
  </w:style>
  <w:style w:type="paragraph" w:styleId="4">
    <w:name w:val="heading 3"/>
    <w:next w:val="1"/>
    <w:link w:val="8"/>
    <w:semiHidden/>
    <w:unhideWhenUsed/>
    <w:qFormat/>
    <w:uiPriority w:val="0"/>
    <w:pPr>
      <w:keepNext/>
      <w:keepLines/>
      <w:spacing w:beforeLines="0" w:beforeAutospacing="0" w:afterLines="0" w:afterAutospacing="0" w:line="600" w:lineRule="exact"/>
      <w:ind w:firstLine="880" w:firstLineChars="200"/>
      <w:jc w:val="both"/>
      <w:outlineLvl w:val="2"/>
    </w:pPr>
    <w:rPr>
      <w:rFonts w:eastAsia="楷体" w:asciiTheme="minorAscii" w:hAnsiTheme="minorAscii" w:cstheme="minorBidi"/>
      <w:sz w:val="32"/>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Body Text"/>
    <w:basedOn w:val="1"/>
    <w:uiPriority w:val="0"/>
    <w:pPr>
      <w:widowControl w:val="0"/>
      <w:spacing w:after="120"/>
      <w:ind w:right="159"/>
      <w:jc w:val="both"/>
    </w:pPr>
    <w:rPr>
      <w:rFonts w:ascii="Arial" w:hAnsi="Arial" w:eastAsia="全真楷書" w:cs="Arial"/>
      <w:color w:val="0000FF"/>
      <w:kern w:val="2"/>
      <w:sz w:val="22"/>
      <w:szCs w:val="22"/>
      <w:lang w:val="en-US" w:eastAsia="en-US" w:bidi="ar-SA"/>
    </w:rPr>
  </w:style>
  <w:style w:type="character" w:customStyle="1" w:styleId="8">
    <w:name w:val="标题 3 Char"/>
    <w:link w:val="4"/>
    <w:uiPriority w:val="0"/>
    <w:rPr>
      <w:rFonts w:eastAsia="楷体" w:asciiTheme="minorAscii" w:hAnsiTheme="minorAscii" w:cstheme="minorBidi"/>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Office_12.1.26046.26046_F1E327BC-269C-435d-A152-05C5408002CA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2026-08-19T23:39:00Z</dcterms:created>
  <dc:creator>Guo</dc:creator>
  <cp:lastModifiedBy>Guo</cp:lastModifiedBy>
  <dcterms:modified xsi:type="dcterms:W3CDTF">2026-08-21T14:53:00Z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2052-12.1.26046.26046</vt:lpwstr>
  </property>
  <property fmtid="{D5CDD505-2E9C-101B-9397-08002B2CF9AE}" pid="3" name="ICV">
    <vt:lpwstr>1BF9CC3BE97A83AC350C846A8FD47649_41</vt:lpwstr>
  </property>
</Properties>
</file>